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6D" w:rsidRPr="00956DFD" w:rsidRDefault="009F4AD4" w:rsidP="009048CA">
      <w:pPr>
        <w:spacing w:after="0" w:line="480" w:lineRule="auto"/>
        <w:jc w:val="center"/>
        <w:rPr>
          <w:rFonts w:ascii="Times New Roman" w:hAnsi="Times New Roman" w:cs="Times New Roman"/>
          <w:sz w:val="24"/>
          <w:szCs w:val="24"/>
          <w:u w:val="single"/>
        </w:rPr>
      </w:pPr>
      <w:proofErr w:type="spellStart"/>
      <w:r w:rsidRPr="00956DFD">
        <w:rPr>
          <w:rFonts w:ascii="Times New Roman" w:hAnsi="Times New Roman" w:cs="Times New Roman"/>
          <w:sz w:val="24"/>
          <w:szCs w:val="24"/>
          <w:u w:val="single"/>
        </w:rPr>
        <w:t>ClassNotes</w:t>
      </w:r>
      <w:proofErr w:type="spellEnd"/>
      <w:r w:rsidR="00E8576D" w:rsidRPr="00956DFD">
        <w:rPr>
          <w:rFonts w:ascii="Times New Roman" w:hAnsi="Times New Roman" w:cs="Times New Roman"/>
          <w:sz w:val="24"/>
          <w:szCs w:val="24"/>
          <w:u w:val="single"/>
        </w:rPr>
        <w:t xml:space="preserve"> </w:t>
      </w:r>
      <w:r w:rsidR="00D21939" w:rsidRPr="00956DFD">
        <w:rPr>
          <w:rFonts w:ascii="Times New Roman" w:hAnsi="Times New Roman" w:cs="Times New Roman"/>
          <w:sz w:val="24"/>
          <w:szCs w:val="24"/>
          <w:u w:val="single"/>
        </w:rPr>
        <w:t>6</w:t>
      </w:r>
      <w:r w:rsidRPr="00956DFD">
        <w:rPr>
          <w:rFonts w:ascii="Times New Roman" w:hAnsi="Times New Roman" w:cs="Times New Roman"/>
          <w:sz w:val="24"/>
          <w:szCs w:val="24"/>
          <w:u w:val="single"/>
        </w:rPr>
        <w:t>: Practice of Multicultural Worship</w:t>
      </w:r>
      <w:r w:rsidR="008C60C9" w:rsidRPr="00956DFD">
        <w:rPr>
          <w:rFonts w:ascii="Times New Roman" w:hAnsi="Times New Roman" w:cs="Times New Roman"/>
          <w:sz w:val="24"/>
          <w:szCs w:val="24"/>
          <w:u w:val="single"/>
        </w:rPr>
        <w:t xml:space="preserve"> </w:t>
      </w:r>
    </w:p>
    <w:p w:rsidR="009048CA" w:rsidRPr="00956DFD" w:rsidRDefault="009048CA" w:rsidP="009048CA">
      <w:pPr>
        <w:spacing w:after="0" w:line="240" w:lineRule="auto"/>
        <w:jc w:val="center"/>
        <w:rPr>
          <w:rFonts w:ascii="Times New Roman" w:hAnsi="Times New Roman" w:cs="Times New Roman"/>
          <w:sz w:val="24"/>
          <w:szCs w:val="24"/>
        </w:rPr>
      </w:pPr>
      <w:r w:rsidRPr="00956DFD">
        <w:rPr>
          <w:rFonts w:ascii="Times New Roman" w:hAnsi="Times New Roman" w:cs="Times New Roman"/>
          <w:sz w:val="24"/>
          <w:szCs w:val="24"/>
        </w:rPr>
        <w:t>Copyright©2016 by Eunjoo Mary Kim</w:t>
      </w:r>
    </w:p>
    <w:p w:rsidR="009048CA" w:rsidRPr="00956DFD" w:rsidRDefault="009048CA" w:rsidP="00DC4332">
      <w:pPr>
        <w:spacing w:line="480" w:lineRule="auto"/>
        <w:jc w:val="center"/>
        <w:rPr>
          <w:rFonts w:ascii="Times New Roman" w:hAnsi="Times New Roman" w:cs="Times New Roman"/>
          <w:sz w:val="24"/>
          <w:szCs w:val="24"/>
          <w:u w:val="single"/>
        </w:rPr>
      </w:pPr>
    </w:p>
    <w:p w:rsidR="00956DFD" w:rsidRDefault="00956DFD" w:rsidP="00956DFD">
      <w:pPr>
        <w:pStyle w:val="Title"/>
        <w:ind w:right="-522"/>
        <w:rPr>
          <w:szCs w:val="24"/>
        </w:rPr>
      </w:pPr>
      <w:r w:rsidRPr="00956DFD">
        <w:rPr>
          <w:szCs w:val="24"/>
        </w:rPr>
        <w:t xml:space="preserve">Multicultural </w:t>
      </w:r>
      <w:r w:rsidRPr="00956DFD">
        <w:rPr>
          <w:szCs w:val="24"/>
        </w:rPr>
        <w:t>Worship as Reflective Practical Theology</w:t>
      </w:r>
    </w:p>
    <w:p w:rsidR="00E163FD" w:rsidRDefault="00E163FD" w:rsidP="00956DFD">
      <w:pPr>
        <w:pStyle w:val="Title"/>
        <w:ind w:right="-522"/>
        <w:rPr>
          <w:szCs w:val="24"/>
        </w:rPr>
      </w:pPr>
    </w:p>
    <w:p w:rsidR="00E163FD" w:rsidRDefault="00E163FD" w:rsidP="00956DFD">
      <w:pPr>
        <w:pStyle w:val="Title"/>
        <w:ind w:right="-522"/>
        <w:rPr>
          <w:szCs w:val="24"/>
        </w:rPr>
      </w:pPr>
    </w:p>
    <w:p w:rsidR="00956DFD" w:rsidRPr="00956DFD" w:rsidRDefault="00956DFD" w:rsidP="00956DFD">
      <w:pPr>
        <w:spacing w:line="480" w:lineRule="auto"/>
        <w:ind w:right="9" w:firstLine="720"/>
        <w:rPr>
          <w:rFonts w:ascii="Times New Roman" w:hAnsi="Times New Roman" w:cs="Times New Roman"/>
          <w:sz w:val="24"/>
          <w:szCs w:val="24"/>
        </w:rPr>
      </w:pPr>
      <w:r>
        <w:rPr>
          <w:rFonts w:ascii="Times New Roman" w:hAnsi="Times New Roman" w:cs="Times New Roman"/>
          <w:sz w:val="24"/>
          <w:szCs w:val="24"/>
        </w:rPr>
        <w:t xml:space="preserve">In </w:t>
      </w:r>
      <w:r w:rsidR="00E163FD">
        <w:rPr>
          <w:rFonts w:ascii="Times New Roman" w:hAnsi="Times New Roman" w:cs="Times New Roman"/>
          <w:sz w:val="24"/>
          <w:szCs w:val="24"/>
        </w:rPr>
        <w:t xml:space="preserve">the </w:t>
      </w:r>
      <w:r w:rsidRPr="00956DFD">
        <w:rPr>
          <w:rFonts w:ascii="Times New Roman" w:hAnsi="Times New Roman" w:cs="Times New Roman"/>
          <w:sz w:val="24"/>
          <w:szCs w:val="24"/>
        </w:rPr>
        <w:t xml:space="preserve">previous </w:t>
      </w:r>
      <w:r>
        <w:rPr>
          <w:rFonts w:ascii="Times New Roman" w:hAnsi="Times New Roman" w:cs="Times New Roman"/>
          <w:sz w:val="24"/>
          <w:szCs w:val="24"/>
        </w:rPr>
        <w:t>weeks, we have p</w:t>
      </w:r>
      <w:r w:rsidRPr="00956DFD">
        <w:rPr>
          <w:rFonts w:ascii="Times New Roman" w:hAnsi="Times New Roman" w:cs="Times New Roman"/>
          <w:sz w:val="24"/>
          <w:szCs w:val="24"/>
        </w:rPr>
        <w:t xml:space="preserve">robed theological, biblical, and historical insights, as well as liturgical models, for the renewal of Christian </w:t>
      </w:r>
      <w:r>
        <w:rPr>
          <w:rFonts w:ascii="Times New Roman" w:hAnsi="Times New Roman" w:cs="Times New Roman"/>
          <w:sz w:val="24"/>
          <w:szCs w:val="24"/>
        </w:rPr>
        <w:t>w</w:t>
      </w:r>
      <w:r w:rsidRPr="00956DFD">
        <w:rPr>
          <w:rFonts w:ascii="Times New Roman" w:hAnsi="Times New Roman" w:cs="Times New Roman"/>
          <w:sz w:val="24"/>
          <w:szCs w:val="24"/>
        </w:rPr>
        <w:t xml:space="preserve">orship in multicultural contexts.  This </w:t>
      </w:r>
      <w:r>
        <w:rPr>
          <w:rFonts w:ascii="Times New Roman" w:hAnsi="Times New Roman" w:cs="Times New Roman"/>
          <w:sz w:val="24"/>
          <w:szCs w:val="24"/>
        </w:rPr>
        <w:t xml:space="preserve">week’s </w:t>
      </w:r>
      <w:proofErr w:type="spellStart"/>
      <w:r>
        <w:rPr>
          <w:rFonts w:ascii="Times New Roman" w:hAnsi="Times New Roman" w:cs="Times New Roman"/>
          <w:sz w:val="24"/>
          <w:szCs w:val="24"/>
        </w:rPr>
        <w:t>ClassNotes</w:t>
      </w:r>
      <w:proofErr w:type="spellEnd"/>
      <w:r>
        <w:rPr>
          <w:rFonts w:ascii="Times New Roman" w:hAnsi="Times New Roman" w:cs="Times New Roman"/>
          <w:sz w:val="24"/>
          <w:szCs w:val="24"/>
        </w:rPr>
        <w:t xml:space="preserve"> </w:t>
      </w:r>
      <w:r w:rsidRPr="00956DFD">
        <w:rPr>
          <w:rFonts w:ascii="Times New Roman" w:hAnsi="Times New Roman" w:cs="Times New Roman"/>
          <w:sz w:val="24"/>
          <w:szCs w:val="24"/>
        </w:rPr>
        <w:t xml:space="preserve">proposes the reflective practical theological method </w:t>
      </w:r>
      <w:r w:rsidR="00E163FD">
        <w:rPr>
          <w:rFonts w:ascii="Times New Roman" w:hAnsi="Times New Roman" w:cs="Times New Roman"/>
          <w:sz w:val="24"/>
          <w:szCs w:val="24"/>
        </w:rPr>
        <w:t xml:space="preserve">for multicultural worship </w:t>
      </w:r>
      <w:r w:rsidRPr="00956DFD">
        <w:rPr>
          <w:rFonts w:ascii="Times New Roman" w:hAnsi="Times New Roman" w:cs="Times New Roman"/>
          <w:sz w:val="24"/>
          <w:szCs w:val="24"/>
        </w:rPr>
        <w:t>as the</w:t>
      </w:r>
      <w:r>
        <w:rPr>
          <w:rFonts w:ascii="Times New Roman" w:hAnsi="Times New Roman" w:cs="Times New Roman"/>
          <w:sz w:val="24"/>
          <w:szCs w:val="24"/>
        </w:rPr>
        <w:t xml:space="preserve"> </w:t>
      </w:r>
      <w:r w:rsidRPr="00956DFD">
        <w:rPr>
          <w:rFonts w:ascii="Times New Roman" w:hAnsi="Times New Roman" w:cs="Times New Roman"/>
          <w:sz w:val="24"/>
          <w:szCs w:val="24"/>
        </w:rPr>
        <w:t xml:space="preserve">liturgical process in an actual ministerial setting.  </w:t>
      </w:r>
      <w:r>
        <w:rPr>
          <w:rFonts w:ascii="Times New Roman" w:hAnsi="Times New Roman" w:cs="Times New Roman"/>
          <w:sz w:val="24"/>
          <w:szCs w:val="24"/>
        </w:rPr>
        <w:t>Worship</w:t>
      </w:r>
      <w:r w:rsidRPr="00956DFD">
        <w:rPr>
          <w:rFonts w:ascii="Times New Roman" w:hAnsi="Times New Roman" w:cs="Times New Roman"/>
          <w:sz w:val="24"/>
          <w:szCs w:val="24"/>
        </w:rPr>
        <w:t xml:space="preserve"> have been regarded as </w:t>
      </w:r>
      <w:proofErr w:type="spellStart"/>
      <w:r w:rsidRPr="00956DFD">
        <w:rPr>
          <w:rFonts w:ascii="Times New Roman" w:hAnsi="Times New Roman" w:cs="Times New Roman"/>
          <w:sz w:val="24"/>
          <w:szCs w:val="24"/>
        </w:rPr>
        <w:t>subdisciplines</w:t>
      </w:r>
      <w:proofErr w:type="spellEnd"/>
      <w:r w:rsidRPr="00956DFD">
        <w:rPr>
          <w:rFonts w:ascii="Times New Roman" w:hAnsi="Times New Roman" w:cs="Times New Roman"/>
          <w:sz w:val="24"/>
          <w:szCs w:val="24"/>
        </w:rPr>
        <w:t xml:space="preserve"> of practical theology, which is narrowly defined as one of the specialized theological disciplines along with systematic theology, biblical studies, and church history.  The reflective practical theological method is, however, based on understanding practical theology in a broad sense by identifying Christian theology, in general, as practical theology, in which theory and practice are supposed to dialectically relate to each other.  Its ultimate goal is to help the preacher and worship leaders discern what God is doing and what God is calling us to do today and inspire the worshipers to become agents of transformation of their churches and society.  The following sections elaborate the four stages of the reflective practical theological method and exercise the method </w:t>
      </w:r>
      <w:r w:rsidR="00D6369B">
        <w:rPr>
          <w:rFonts w:ascii="Times New Roman" w:hAnsi="Times New Roman" w:cs="Times New Roman"/>
          <w:sz w:val="24"/>
          <w:szCs w:val="24"/>
        </w:rPr>
        <w:t>with the illustration of my own liturgy and sermon</w:t>
      </w:r>
      <w:r w:rsidRPr="00956DFD">
        <w:rPr>
          <w:rFonts w:ascii="Times New Roman" w:hAnsi="Times New Roman" w:cs="Times New Roman"/>
          <w:sz w:val="24"/>
          <w:szCs w:val="24"/>
        </w:rPr>
        <w:t xml:space="preserve">.  </w:t>
      </w:r>
    </w:p>
    <w:p w:rsidR="00956DFD" w:rsidRPr="00956DFD" w:rsidRDefault="00956DFD" w:rsidP="00956DFD">
      <w:pPr>
        <w:spacing w:line="480" w:lineRule="auto"/>
        <w:jc w:val="center"/>
        <w:rPr>
          <w:rFonts w:ascii="Times New Roman" w:hAnsi="Times New Roman" w:cs="Times New Roman"/>
          <w:sz w:val="24"/>
          <w:szCs w:val="24"/>
          <w:u w:val="single"/>
        </w:rPr>
      </w:pPr>
      <w:r w:rsidRPr="00956DFD">
        <w:rPr>
          <w:rFonts w:ascii="Times New Roman" w:hAnsi="Times New Roman" w:cs="Times New Roman"/>
          <w:sz w:val="24"/>
          <w:szCs w:val="24"/>
          <w:u w:val="single"/>
        </w:rPr>
        <w:t>The Four Stages of Reflective Practical Theology</w:t>
      </w:r>
    </w:p>
    <w:p w:rsidR="00956DFD" w:rsidRPr="00956DFD" w:rsidRDefault="00956DFD" w:rsidP="00956DFD">
      <w:pPr>
        <w:pStyle w:val="BodyText2"/>
        <w:spacing w:before="0"/>
        <w:jc w:val="left"/>
        <w:rPr>
          <w:szCs w:val="24"/>
        </w:rPr>
      </w:pPr>
      <w:r w:rsidRPr="00956DFD">
        <w:rPr>
          <w:szCs w:val="24"/>
        </w:rPr>
        <w:t xml:space="preserve">The ministry of </w:t>
      </w:r>
      <w:r w:rsidR="00D6369B">
        <w:rPr>
          <w:szCs w:val="24"/>
        </w:rPr>
        <w:t xml:space="preserve">multicultural </w:t>
      </w:r>
      <w:r w:rsidRPr="00956DFD">
        <w:rPr>
          <w:szCs w:val="24"/>
        </w:rPr>
        <w:t xml:space="preserve">worship, as reflective practical theology, is an imaginative act in the sense that it requires of the preacher and worship leaders an ability to do meaning-making through a certain mental process of imagination.  While people tend to identify the term “imagination” with “artistic creativity, fantasy, scientific discovery, invention, and novelty,” Mark Johnson criticizes this view as “a result of nineteenth-century Romantic views of art and </w:t>
      </w:r>
      <w:r w:rsidRPr="00956DFD">
        <w:rPr>
          <w:szCs w:val="24"/>
        </w:rPr>
        <w:lastRenderedPageBreak/>
        <w:t>imagination”</w:t>
      </w:r>
      <w:r w:rsidRPr="00956DFD">
        <w:rPr>
          <w:rStyle w:val="FootnoteReference"/>
          <w:szCs w:val="24"/>
        </w:rPr>
        <w:footnoteReference w:id="1"/>
      </w:r>
      <w:r w:rsidRPr="00956DFD">
        <w:rPr>
          <w:szCs w:val="24"/>
        </w:rPr>
        <w:t xml:space="preserve"> and argues that imagination is more than that.  For him, it is not separate from reason, because it is “our capacity to organize mental representations (especially percepts, images, and image schemata) into meaningful, coherent unities.  It thus includes our ability to generate novel order.”</w:t>
      </w:r>
      <w:r w:rsidRPr="00956DFD">
        <w:rPr>
          <w:rStyle w:val="FootnoteReference"/>
          <w:szCs w:val="24"/>
        </w:rPr>
        <w:footnoteReference w:id="2"/>
      </w:r>
      <w:r w:rsidRPr="00956DFD">
        <w:rPr>
          <w:szCs w:val="24"/>
        </w:rPr>
        <w:t xml:space="preserve">  </w:t>
      </w:r>
    </w:p>
    <w:p w:rsidR="00956DFD" w:rsidRPr="00956DFD" w:rsidRDefault="00956DFD" w:rsidP="00956DFD">
      <w:pPr>
        <w:pStyle w:val="BodyText2"/>
        <w:spacing w:before="0"/>
        <w:jc w:val="left"/>
        <w:rPr>
          <w:szCs w:val="24"/>
        </w:rPr>
      </w:pPr>
      <w:r w:rsidRPr="00956DFD">
        <w:rPr>
          <w:szCs w:val="24"/>
        </w:rPr>
        <w:t>Like Johnson, Patrick Sherry also sees imagination as “an active power of the mind . . . an active combining power which brings ideas together.”</w:t>
      </w:r>
      <w:r w:rsidRPr="00956DFD">
        <w:rPr>
          <w:rStyle w:val="FootnoteReference"/>
          <w:szCs w:val="24"/>
        </w:rPr>
        <w:footnoteReference w:id="3"/>
      </w:r>
      <w:r w:rsidRPr="00956DFD">
        <w:rPr>
          <w:szCs w:val="24"/>
        </w:rPr>
        <w:t xml:space="preserve">  Through imagination, asserts Sherry, we combine past memories and present experiences and meditate upon future action, events, and hope.</w:t>
      </w:r>
      <w:r w:rsidRPr="00956DFD">
        <w:rPr>
          <w:rStyle w:val="FootnoteReference"/>
          <w:szCs w:val="24"/>
        </w:rPr>
        <w:footnoteReference w:id="4"/>
      </w:r>
      <w:r w:rsidRPr="00956DFD">
        <w:rPr>
          <w:szCs w:val="24"/>
        </w:rPr>
        <w:t xml:space="preserve">  Unlike Johnson, however, Sherry understands the mind as more than just reasoning, “not part of the mind, but rather the whole mind working in a certain way, involving perception, feeling, and reasoning.”</w:t>
      </w:r>
      <w:r w:rsidRPr="00956DFD">
        <w:rPr>
          <w:rStyle w:val="FootnoteReference"/>
          <w:szCs w:val="24"/>
        </w:rPr>
        <w:footnoteReference w:id="5"/>
      </w:r>
      <w:r w:rsidRPr="00956DFD">
        <w:rPr>
          <w:szCs w:val="24"/>
        </w:rPr>
        <w:t xml:space="preserve">  Through imagination, we can cultivate “mutual sympathies” by putting ourselves in others’ places,</w:t>
      </w:r>
      <w:r w:rsidRPr="00956DFD">
        <w:rPr>
          <w:rStyle w:val="FootnoteReference"/>
          <w:szCs w:val="24"/>
        </w:rPr>
        <w:footnoteReference w:id="6"/>
      </w:r>
      <w:r w:rsidRPr="00956DFD">
        <w:rPr>
          <w:szCs w:val="24"/>
        </w:rPr>
        <w:t xml:space="preserve"> and it eventually helps us “see things from an unfamiliar point of view, and thereby perhaps stimulate them to lead deeper and richer lives.”</w:t>
      </w:r>
      <w:r w:rsidRPr="00956DFD">
        <w:rPr>
          <w:rStyle w:val="FootnoteReference"/>
          <w:szCs w:val="24"/>
        </w:rPr>
        <w:footnoteReference w:id="7"/>
      </w:r>
      <w:r w:rsidRPr="00956DFD">
        <w:rPr>
          <w:szCs w:val="24"/>
        </w:rPr>
        <w:t xml:space="preserve">  In this way, imagination leads us to handle diversity in a constructive and creative way.  This kind of understanding of imagination, claims Sherry, is attributed to God, and the Holy Spirit resides in it.</w:t>
      </w:r>
      <w:r w:rsidRPr="00956DFD">
        <w:rPr>
          <w:rStyle w:val="FootnoteReference"/>
          <w:szCs w:val="24"/>
        </w:rPr>
        <w:footnoteReference w:id="8"/>
      </w:r>
      <w:r w:rsidRPr="00956DFD">
        <w:rPr>
          <w:szCs w:val="24"/>
        </w:rPr>
        <w:t xml:space="preserve">   </w:t>
      </w:r>
    </w:p>
    <w:p w:rsidR="00956DFD" w:rsidRPr="00956DFD" w:rsidRDefault="00956DFD" w:rsidP="00956DFD">
      <w:pPr>
        <w:pStyle w:val="BodyText2"/>
        <w:spacing w:before="0"/>
        <w:ind w:right="-522"/>
        <w:jc w:val="left"/>
        <w:rPr>
          <w:szCs w:val="24"/>
        </w:rPr>
      </w:pPr>
      <w:r w:rsidRPr="00956DFD">
        <w:rPr>
          <w:szCs w:val="24"/>
        </w:rPr>
        <w:t>In addition, it is crucial to recognize that imagination can be alienated from reality or corrupted as fantasy or illusion if it is “divorced from grace and truth.”</w:t>
      </w:r>
      <w:r w:rsidRPr="00956DFD">
        <w:rPr>
          <w:rStyle w:val="FootnoteReference"/>
          <w:szCs w:val="24"/>
        </w:rPr>
        <w:footnoteReference w:id="9"/>
      </w:r>
      <w:r w:rsidRPr="00956DFD">
        <w:rPr>
          <w:szCs w:val="24"/>
        </w:rPr>
        <w:t xml:space="preserve">  It is also known that imagination depends on our partial memories in the past and fragmentary experiences in the present.  In other </w:t>
      </w:r>
      <w:r w:rsidRPr="00956DFD">
        <w:rPr>
          <w:szCs w:val="24"/>
        </w:rPr>
        <w:lastRenderedPageBreak/>
        <w:t>words, it “permeates our embodied, spatial, temporal, culturally formed, and value-laden understanding”</w:t>
      </w:r>
      <w:r w:rsidRPr="00956DFD">
        <w:rPr>
          <w:rStyle w:val="FootnoteReference"/>
          <w:szCs w:val="24"/>
        </w:rPr>
        <w:footnoteReference w:id="10"/>
      </w:r>
      <w:r w:rsidRPr="00956DFD">
        <w:rPr>
          <w:szCs w:val="24"/>
        </w:rPr>
        <w:t xml:space="preserve"> and gives meaning by “[calling] to mind a set of related structures of understanding that are directed either to some set of structures in experience . . . or else to other symbols.”</w:t>
      </w:r>
      <w:r w:rsidRPr="00956DFD">
        <w:rPr>
          <w:rStyle w:val="FootnoteReference"/>
          <w:szCs w:val="24"/>
        </w:rPr>
        <w:footnoteReference w:id="11"/>
      </w:r>
      <w:r w:rsidRPr="00956DFD">
        <w:rPr>
          <w:szCs w:val="24"/>
        </w:rPr>
        <w:t xml:space="preserve">  Accordingly, just as our memories and experiences are limited, so is our imagination.  The practical wisdom we discern and manifest in preaching and worship through imagination is thus limited, neither holistic nor perfect, but partial and fragmented.  It is not absolute, but provisional and contextual, so that it is important for preachers and worship leaders to seek the wholeness of truth by opening themselves toward new experiences in a changing context.  </w:t>
      </w:r>
    </w:p>
    <w:p w:rsidR="00956DFD" w:rsidRPr="00956DFD" w:rsidRDefault="00956DFD" w:rsidP="00956DFD">
      <w:pPr>
        <w:spacing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Despite such limits of imagination, it is not possible to discern practical wisdom without imagination.  It is the conduit of the method of reflective practical theology for preaching and worship in multicultural contexts.   Practical theological reflection, in the preparation for preaching and worship, occurs, not randomly, but through a deliberate process.  While a variety of methods are available for practical theological reflection,</w:t>
      </w:r>
      <w:r w:rsidRPr="00956DFD">
        <w:rPr>
          <w:rStyle w:val="FootnoteReference"/>
          <w:rFonts w:ascii="Times New Roman" w:hAnsi="Times New Roman" w:cs="Times New Roman"/>
          <w:sz w:val="24"/>
          <w:szCs w:val="24"/>
        </w:rPr>
        <w:footnoteReference w:id="12"/>
      </w:r>
      <w:r w:rsidRPr="00956DFD">
        <w:rPr>
          <w:rFonts w:ascii="Times New Roman" w:hAnsi="Times New Roman" w:cs="Times New Roman"/>
          <w:sz w:val="24"/>
          <w:szCs w:val="24"/>
        </w:rPr>
        <w:t xml:space="preserve"> the reflective practical theological method is unique in its spiral movement of four stages based on imagination: 1) Empathetic imagination in interpreting the cultural context for worship, 2) prayerful and contemplative imagination in deepening the liturgical theme, 3) creative imagination in designing and performing preaching and worship, and 4) visionary imagination in evaluating the works in the previous stages.  In each stage of the movement, racial and cultural diversity is regarded as the key concern.     </w:t>
      </w:r>
    </w:p>
    <w:p w:rsidR="00956DFD" w:rsidRPr="00956DFD" w:rsidRDefault="00956DFD" w:rsidP="00956DFD">
      <w:pPr>
        <w:spacing w:line="480" w:lineRule="auto"/>
        <w:ind w:firstLine="720"/>
        <w:rPr>
          <w:rFonts w:ascii="Times New Roman" w:hAnsi="Times New Roman" w:cs="Times New Roman"/>
          <w:sz w:val="24"/>
          <w:szCs w:val="24"/>
        </w:rPr>
      </w:pPr>
      <w:r w:rsidRPr="00956DFD">
        <w:rPr>
          <w:rFonts w:ascii="Times New Roman" w:hAnsi="Times New Roman" w:cs="Times New Roman"/>
          <w:sz w:val="24"/>
          <w:szCs w:val="24"/>
        </w:rPr>
        <w:lastRenderedPageBreak/>
        <w:t xml:space="preserve">Stage </w:t>
      </w:r>
      <w:proofErr w:type="gramStart"/>
      <w:r w:rsidRPr="00956DFD">
        <w:rPr>
          <w:rFonts w:ascii="Times New Roman" w:hAnsi="Times New Roman" w:cs="Times New Roman"/>
          <w:sz w:val="24"/>
          <w:szCs w:val="24"/>
        </w:rPr>
        <w:t>One</w:t>
      </w:r>
      <w:proofErr w:type="gramEnd"/>
      <w:r w:rsidRPr="00956DFD">
        <w:rPr>
          <w:rFonts w:ascii="Times New Roman" w:hAnsi="Times New Roman" w:cs="Times New Roman"/>
          <w:sz w:val="24"/>
          <w:szCs w:val="24"/>
        </w:rPr>
        <w:t xml:space="preserve"> is to understand the liturgical culture of the congregation through the empathetic approach to observation and critical analysis.  In order to interpret particular cultural dynamics embedded in congregational worship, the preacher and worship leaders need to ask the following questions:  Who are the worshipers, racially, socially, and culturally?  Why do they worship in that pattern?  What do they expect from preaching and worship?  Who are in the leadership roles?  Which racial and cultural group is in the center and which racial and cultural groups are in the margins of congregational worship?  How does the social structure contribute to such congregational dynamics in worship?  </w:t>
      </w:r>
    </w:p>
    <w:p w:rsidR="00956DFD" w:rsidRPr="00956DFD" w:rsidRDefault="00956DFD" w:rsidP="00956DFD">
      <w:pPr>
        <w:spacing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 xml:space="preserve">These questions can be answered from the knowledge and information gained from formal and informal researches, such as interviews with worshipers, reviews of church bulletins and denominational and congregational histories of preaching and worship, demographic surveys, ethnographic studies, and social analyses.  They are useful tools to analyze the congregational culture and find out why such particular cultural dynamics have been constructed in that particular congregational worship.  Especially, empathetic listening to the racially different worshipers about their personal and corporate experiences of worship helps the preacher and worship leaders recognize what they think about worship and how they want to worship.  In order to imagine how the worship service can be improved, it is important to look deeper into the cultural dynamics in the liturgical patterns that the worshipers have taken for granted. </w:t>
      </w:r>
    </w:p>
    <w:p w:rsidR="00956DFD" w:rsidRPr="00956DFD" w:rsidRDefault="00956DFD" w:rsidP="00956DFD">
      <w:pPr>
        <w:spacing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 xml:space="preserve">Stage Two is to select and meditate on a liturgical theme through prayerful imagination.  For some churches, the liturgical theme is preassigned by the Christian calendar, the lectionary, or their local church calendars.   If not, the preacher and worship leaders have freedom to choose the theme based on the particular congregational situation interpreted in Stage One.  Once the </w:t>
      </w:r>
      <w:r w:rsidRPr="00956DFD">
        <w:rPr>
          <w:rFonts w:ascii="Times New Roman" w:hAnsi="Times New Roman" w:cs="Times New Roman"/>
          <w:sz w:val="24"/>
          <w:szCs w:val="24"/>
        </w:rPr>
        <w:lastRenderedPageBreak/>
        <w:t xml:space="preserve">liturgical theme is decided, they need to listen for an image or images that arise around the theme, rather than for its definition, and imagine feelings, biases, and apprehensions that may be revealed in those images.  </w:t>
      </w:r>
    </w:p>
    <w:p w:rsidR="00956DFD" w:rsidRPr="00956DFD" w:rsidRDefault="00956DFD" w:rsidP="00E0704D">
      <w:pPr>
        <w:spacing w:after="0"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 xml:space="preserve">In relation to the interpretation of the biblical text selected for preaching, the preacher needs to remember that the story of the Christian faith is still unfolding and has a surplus of meaning that will never be exhausted.  Through a dialogue between biblical texts and other sacred texts and stories in relation to the liturgical theme, the preacher may imagine the meaning of the biblical text from a fresh, new angle and discern practical wisdom by deepening the theological and ethical meaning of the text.  </w:t>
      </w:r>
    </w:p>
    <w:p w:rsidR="00956DFD" w:rsidRPr="00956DFD" w:rsidRDefault="00956DFD" w:rsidP="00E0704D">
      <w:pPr>
        <w:spacing w:after="0"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 xml:space="preserve">Stage Three is to manifest or communicate the discerned practical wisdom through preaching and worship.  The main concern in this stage is how to effectively appeal to the worshipers’ imagination, which has been impacted by diverse racial and ethnic cultures, so that they may be inspired to transform their ways of thinking and acting, personally and communally.  Even though the worshipers are used to the existing liturgical pattern, the preacher and worship leaders need to be mindful of how it has often domesticated and tamed congregational worship by confining it too closely within a particular culture or one ethnic group’s ethos.  </w:t>
      </w:r>
    </w:p>
    <w:p w:rsidR="00956DFD" w:rsidRPr="00956DFD" w:rsidRDefault="00956DFD" w:rsidP="00E0704D">
      <w:pPr>
        <w:spacing w:after="0"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If the preacher and worship leaders are convinced that it is necessary to liberate the pattern from “provincialism and ethnic captivity,”</w:t>
      </w:r>
      <w:r w:rsidRPr="00956DFD">
        <w:rPr>
          <w:rStyle w:val="FootnoteReference"/>
          <w:rFonts w:ascii="Times New Roman" w:hAnsi="Times New Roman" w:cs="Times New Roman"/>
          <w:sz w:val="24"/>
          <w:szCs w:val="24"/>
        </w:rPr>
        <w:footnoteReference w:id="13"/>
      </w:r>
      <w:r w:rsidRPr="00956DFD">
        <w:rPr>
          <w:rFonts w:ascii="Times New Roman" w:hAnsi="Times New Roman" w:cs="Times New Roman"/>
          <w:sz w:val="24"/>
          <w:szCs w:val="24"/>
        </w:rPr>
        <w:t xml:space="preserve"> they should critically evaluate their congregational worship from the multicultural perspective and discern what is to be affirmed, questioned, and moved beyond the cultural elements embedded in the existing liturgical pattern.  The five models explained in Chapter Six—the melting pot, the salad bowl, the mosaic, the kaleidoscope, and the metamorphosis—are helpful to examine the current practice of preaching </w:t>
      </w:r>
      <w:r w:rsidRPr="00956DFD">
        <w:rPr>
          <w:rFonts w:ascii="Times New Roman" w:hAnsi="Times New Roman" w:cs="Times New Roman"/>
          <w:sz w:val="24"/>
          <w:szCs w:val="24"/>
        </w:rPr>
        <w:lastRenderedPageBreak/>
        <w:t>and worship and to creatively think about a new liturgical model for multicultural worship.  It is also helpful to have a dialogue with the worshipers who are racially and culturally different and learn from them how Christian preaching and worship have been practiced in culturally different ways.  When a new liturgical model is going to be used or any changes in the liturgy are going to be made, it is prerequisite that the congregation must always be informed in advance about the theological, biblical, and historical significance of the changes.</w:t>
      </w:r>
    </w:p>
    <w:p w:rsidR="00956DFD" w:rsidRPr="00956DFD" w:rsidRDefault="00956DFD" w:rsidP="00E0704D">
      <w:pPr>
        <w:spacing w:after="0" w:line="480" w:lineRule="auto"/>
        <w:rPr>
          <w:rFonts w:ascii="Times New Roman" w:hAnsi="Times New Roman" w:cs="Times New Roman"/>
          <w:sz w:val="24"/>
          <w:szCs w:val="24"/>
        </w:rPr>
      </w:pPr>
      <w:r w:rsidRPr="00956DFD">
        <w:rPr>
          <w:rFonts w:ascii="Times New Roman" w:hAnsi="Times New Roman" w:cs="Times New Roman"/>
          <w:sz w:val="24"/>
          <w:szCs w:val="24"/>
        </w:rPr>
        <w:tab/>
        <w:t>In changing the liturgical pattern, from the multicultural point of view, the one-size-fit-all approach to every worship service sounds not ideal because the congregational culture is not static but dynamic and fluid.  Moreover, the level of consciousness of cultural diversity among the worshipers is evolving.  In this situation, flexibility is crucial in the mindsets of the preacher and worship leaders</w:t>
      </w:r>
      <w:r w:rsidR="00E0704D">
        <w:rPr>
          <w:rFonts w:ascii="Times New Roman" w:hAnsi="Times New Roman" w:cs="Times New Roman"/>
          <w:sz w:val="24"/>
          <w:szCs w:val="24"/>
        </w:rPr>
        <w:t xml:space="preserve">, and they </w:t>
      </w:r>
      <w:r w:rsidRPr="00956DFD">
        <w:rPr>
          <w:rFonts w:ascii="Times New Roman" w:hAnsi="Times New Roman" w:cs="Times New Roman"/>
          <w:sz w:val="24"/>
          <w:szCs w:val="24"/>
        </w:rPr>
        <w:t xml:space="preserve">must be sensitive to the particular situation of their congregational culture and renew the liturgical model to be the most effective.  It is also equally important to prepare liturgical components such as sacred texts, stories, music, prayers, creeds, languages, verbal and non-verbal gestures, colors, space, time, etc. through careful discernment, from the multicultural perspective.    </w:t>
      </w:r>
    </w:p>
    <w:p w:rsidR="00E0704D" w:rsidRDefault="00956DFD" w:rsidP="00956DFD">
      <w:pPr>
        <w:spacing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 xml:space="preserve">How, then, can the liturgical change happen in the most effective and meaningful way?  The answer is related to the following questions:  How does the worship leadership team represent the culturally diverse worshipers, especially the racially and ethnically underrepresented in congregational worship?  How is their cultural diversity embraced in preaching and worship in a theologically constructive way?  And how beautifully is racial and cultural diversity presented to evoke the worshipers’ imagination to appreciate the glory and beauty of God?  </w:t>
      </w:r>
    </w:p>
    <w:p w:rsidR="00956DFD" w:rsidRPr="00956DFD" w:rsidRDefault="00956DFD" w:rsidP="00E0704D">
      <w:pPr>
        <w:spacing w:after="0" w:line="480" w:lineRule="auto"/>
        <w:ind w:firstLine="720"/>
        <w:rPr>
          <w:rFonts w:ascii="Times New Roman" w:hAnsi="Times New Roman" w:cs="Times New Roman"/>
          <w:sz w:val="24"/>
          <w:szCs w:val="24"/>
        </w:rPr>
      </w:pPr>
      <w:r w:rsidRPr="00956DFD">
        <w:rPr>
          <w:rFonts w:ascii="Times New Roman" w:hAnsi="Times New Roman" w:cs="Times New Roman"/>
          <w:sz w:val="24"/>
          <w:szCs w:val="24"/>
        </w:rPr>
        <w:lastRenderedPageBreak/>
        <w:t xml:space="preserve">Stage Four is to evaluate what was done in the previous three stages.  This last stage would also be the first stage of the next cycle of the spiral movement of the reflective practical theological method.  In general, criteria for evaluating preaching and worship include the coherence of the liturgical theme, the effectiveness of the use of the liturgical components, the flow of the liturgy, the movement in the sermon, the relevance of the biblical interpretation, the participation of the congregation, the presence of the preacher and worship leaders in the  delivery, etc.  In addition, sensibility to the cultural landscape of the worshipers is another important element in evaluating the worship service, from the multicultural perspective.  When culturally embedded symbols and other liturgical elements are used effectively in preaching and worship, they encourage the worshipers to participate in the service, actively and fully; through participation, they experience worship as authentic.  </w:t>
      </w:r>
    </w:p>
    <w:p w:rsidR="00956DFD" w:rsidRPr="00956DFD" w:rsidRDefault="00956DFD" w:rsidP="00956DFD">
      <w:pPr>
        <w:spacing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The experience of authentic worship has the power to inspire the worshipers to transform themselves.  As Perry properly explains, the concept of inspiration, which literally means “blowing upon” or “breathing into,”</w:t>
      </w:r>
      <w:r w:rsidRPr="00956DFD">
        <w:rPr>
          <w:rStyle w:val="FootnoteReference"/>
          <w:rFonts w:ascii="Times New Roman" w:hAnsi="Times New Roman" w:cs="Times New Roman"/>
          <w:sz w:val="24"/>
          <w:szCs w:val="24"/>
        </w:rPr>
        <w:footnoteReference w:id="14"/>
      </w:r>
      <w:r w:rsidRPr="00956DFD">
        <w:rPr>
          <w:rFonts w:ascii="Times New Roman" w:hAnsi="Times New Roman" w:cs="Times New Roman"/>
          <w:sz w:val="24"/>
          <w:szCs w:val="24"/>
        </w:rPr>
        <w:t xml:space="preserve"> is closely related to the work of the Spirit:</w:t>
      </w:r>
    </w:p>
    <w:p w:rsidR="00956DFD" w:rsidRPr="00956DFD" w:rsidRDefault="00956DFD" w:rsidP="00E0704D">
      <w:pPr>
        <w:spacing w:after="0"/>
        <w:ind w:left="720" w:right="729"/>
        <w:rPr>
          <w:rFonts w:ascii="Times New Roman" w:hAnsi="Times New Roman" w:cs="Times New Roman"/>
          <w:sz w:val="24"/>
          <w:szCs w:val="24"/>
        </w:rPr>
      </w:pPr>
      <w:r w:rsidRPr="00956DFD">
        <w:rPr>
          <w:rFonts w:ascii="Times New Roman" w:hAnsi="Times New Roman" w:cs="Times New Roman"/>
          <w:sz w:val="24"/>
          <w:szCs w:val="24"/>
        </w:rPr>
        <w:t>If . . . the Bible often envisages the spirit of God as a power which ‘blows through’ or permeates people, giving or heightening certain capacities, particularly by producing a change of heart, then it would seem that inspiration was originally seen as an empowering of this kind (104). . . . St Thomas Aquinas . . . used the term</w:t>
      </w:r>
      <w:r w:rsidRPr="00956DFD">
        <w:rPr>
          <w:rFonts w:ascii="Times New Roman" w:hAnsi="Times New Roman" w:cs="Times New Roman"/>
          <w:i/>
          <w:sz w:val="24"/>
          <w:szCs w:val="24"/>
        </w:rPr>
        <w:t xml:space="preserve"> </w:t>
      </w:r>
      <w:proofErr w:type="spellStart"/>
      <w:r w:rsidRPr="00956DFD">
        <w:rPr>
          <w:rFonts w:ascii="Times New Roman" w:hAnsi="Times New Roman" w:cs="Times New Roman"/>
          <w:i/>
          <w:sz w:val="24"/>
          <w:szCs w:val="24"/>
        </w:rPr>
        <w:t>inspiratio</w:t>
      </w:r>
      <w:proofErr w:type="spellEnd"/>
      <w:r w:rsidRPr="00956DFD">
        <w:rPr>
          <w:rFonts w:ascii="Times New Roman" w:hAnsi="Times New Roman" w:cs="Times New Roman"/>
          <w:sz w:val="24"/>
          <w:szCs w:val="24"/>
        </w:rPr>
        <w:t xml:space="preserve"> of the Gifts of the Holy Spirit, i.e. wisdom, understanding, knowledge, counsel, piety, fortitude, and fear of the Lord, in </w:t>
      </w:r>
      <w:r w:rsidRPr="00956DFD">
        <w:rPr>
          <w:rFonts w:ascii="Times New Roman" w:hAnsi="Times New Roman" w:cs="Times New Roman"/>
          <w:i/>
          <w:sz w:val="24"/>
          <w:szCs w:val="24"/>
        </w:rPr>
        <w:t xml:space="preserve">Summa </w:t>
      </w:r>
      <w:proofErr w:type="spellStart"/>
      <w:r w:rsidRPr="00956DFD">
        <w:rPr>
          <w:rFonts w:ascii="Times New Roman" w:hAnsi="Times New Roman" w:cs="Times New Roman"/>
          <w:i/>
          <w:sz w:val="24"/>
          <w:szCs w:val="24"/>
        </w:rPr>
        <w:t>Theologiae</w:t>
      </w:r>
      <w:proofErr w:type="spellEnd"/>
      <w:r w:rsidRPr="00956DFD">
        <w:rPr>
          <w:rFonts w:ascii="Times New Roman" w:hAnsi="Times New Roman" w:cs="Times New Roman"/>
          <w:sz w:val="24"/>
          <w:szCs w:val="24"/>
        </w:rPr>
        <w:t>, 1a2ae.68.1; he says that they come through divine inspiration and that they dispose people to become readily mobile to this inspiration.</w:t>
      </w:r>
      <w:r w:rsidRPr="00956DFD">
        <w:rPr>
          <w:rStyle w:val="FootnoteReference"/>
          <w:rFonts w:ascii="Times New Roman" w:hAnsi="Times New Roman" w:cs="Times New Roman"/>
          <w:sz w:val="24"/>
          <w:szCs w:val="24"/>
        </w:rPr>
        <w:footnoteReference w:id="15"/>
      </w:r>
      <w:r w:rsidRPr="00956DFD">
        <w:rPr>
          <w:rFonts w:ascii="Times New Roman" w:hAnsi="Times New Roman" w:cs="Times New Roman"/>
          <w:sz w:val="24"/>
          <w:szCs w:val="24"/>
        </w:rPr>
        <w:t xml:space="preserve"> </w:t>
      </w:r>
    </w:p>
    <w:p w:rsidR="00956DFD" w:rsidRPr="00956DFD" w:rsidRDefault="00956DFD" w:rsidP="00956DFD">
      <w:pPr>
        <w:ind w:left="720" w:right="729"/>
        <w:rPr>
          <w:rFonts w:ascii="Times New Roman" w:hAnsi="Times New Roman" w:cs="Times New Roman"/>
          <w:sz w:val="24"/>
          <w:szCs w:val="24"/>
        </w:rPr>
      </w:pPr>
    </w:p>
    <w:p w:rsidR="00956DFD" w:rsidRPr="00956DFD" w:rsidRDefault="00956DFD" w:rsidP="00956DFD">
      <w:pPr>
        <w:pStyle w:val="BodyText2"/>
        <w:spacing w:before="0"/>
        <w:ind w:right="9" w:firstLine="0"/>
        <w:jc w:val="left"/>
        <w:rPr>
          <w:szCs w:val="24"/>
        </w:rPr>
      </w:pPr>
      <w:r w:rsidRPr="00956DFD">
        <w:rPr>
          <w:szCs w:val="24"/>
        </w:rPr>
        <w:t>Inspiration, as the empowerment of the Holy Spirit, happens when the preacher and worship leaders play a role as “an instrument of the Spirit” or “a co-creator” of inspiration.</w:t>
      </w:r>
      <w:r w:rsidRPr="00956DFD">
        <w:rPr>
          <w:rStyle w:val="FootnoteReference"/>
          <w:szCs w:val="24"/>
        </w:rPr>
        <w:footnoteReference w:id="16"/>
      </w:r>
      <w:r w:rsidRPr="00956DFD">
        <w:rPr>
          <w:szCs w:val="24"/>
        </w:rPr>
        <w:t xml:space="preserve">  It changes </w:t>
      </w:r>
      <w:r w:rsidRPr="00956DFD">
        <w:rPr>
          <w:szCs w:val="24"/>
        </w:rPr>
        <w:lastRenderedPageBreak/>
        <w:t>the worshipers’ hearts and brings them to transformation by enhancing their “capacities in which their emotional and moral range is extended, giving rise to particular creative moral actions or to the perception of new patterns of goodness.”</w:t>
      </w:r>
      <w:r w:rsidRPr="00956DFD">
        <w:rPr>
          <w:rStyle w:val="FootnoteReference"/>
          <w:szCs w:val="24"/>
        </w:rPr>
        <w:footnoteReference w:id="17"/>
      </w:r>
      <w:r w:rsidRPr="00956DFD">
        <w:rPr>
          <w:szCs w:val="24"/>
        </w:rPr>
        <w:t xml:space="preserve">  </w:t>
      </w:r>
    </w:p>
    <w:p w:rsidR="00956DFD" w:rsidRPr="00956DFD" w:rsidRDefault="00956DFD" w:rsidP="00956DFD">
      <w:pPr>
        <w:pStyle w:val="BodyText2"/>
        <w:spacing w:before="0"/>
        <w:ind w:right="9"/>
        <w:jc w:val="left"/>
        <w:rPr>
          <w:szCs w:val="24"/>
        </w:rPr>
      </w:pPr>
      <w:r w:rsidRPr="00956DFD">
        <w:rPr>
          <w:szCs w:val="24"/>
        </w:rPr>
        <w:t xml:space="preserve">Ultimately, all the criteria for the evaluation of preaching and worship converge into the evaluation of how inspiring they are.  Inspiration is, on the one hand, a subjective experience.  On the other hand, it can be provoked as a communal experience, particularly, in a liturgical context.  Hence, listening to the worshipers’ feedback through formal and informal channels, such as personal conversation, survey, or discussion with a feedback group, may be helpful to improve the worship service to be more inspiring.      </w:t>
      </w:r>
    </w:p>
    <w:p w:rsidR="00956DFD" w:rsidRPr="00956DFD" w:rsidRDefault="00956DFD" w:rsidP="00956DFD">
      <w:pPr>
        <w:pStyle w:val="BodyText2"/>
        <w:spacing w:before="0"/>
        <w:ind w:right="-522" w:firstLine="0"/>
        <w:jc w:val="center"/>
        <w:rPr>
          <w:szCs w:val="24"/>
          <w:u w:val="single"/>
        </w:rPr>
      </w:pPr>
      <w:r w:rsidRPr="00956DFD">
        <w:rPr>
          <w:szCs w:val="24"/>
          <w:u w:val="single"/>
        </w:rPr>
        <w:t>An Exercise of the Reflective Practical Theological Method</w:t>
      </w:r>
      <w:r w:rsidRPr="00956DFD">
        <w:rPr>
          <w:rStyle w:val="FootnoteReference"/>
          <w:szCs w:val="24"/>
          <w:u w:val="single"/>
        </w:rPr>
        <w:footnoteReference w:id="18"/>
      </w:r>
      <w:r w:rsidRPr="00956DFD">
        <w:rPr>
          <w:szCs w:val="24"/>
          <w:u w:val="single"/>
        </w:rPr>
        <w:t xml:space="preserve"> </w:t>
      </w:r>
    </w:p>
    <w:p w:rsidR="00956DFD" w:rsidRPr="00956DFD" w:rsidRDefault="00956DFD" w:rsidP="00956DFD">
      <w:pPr>
        <w:pStyle w:val="BodyText2"/>
        <w:spacing w:before="0"/>
        <w:ind w:right="9"/>
        <w:jc w:val="left"/>
        <w:rPr>
          <w:szCs w:val="24"/>
        </w:rPr>
      </w:pPr>
      <w:r w:rsidRPr="00956DFD">
        <w:rPr>
          <w:szCs w:val="24"/>
        </w:rPr>
        <w:t xml:space="preserve">In order to demonstrate how to use the four stages of the reflective practical theological method for preaching and worship in a concrete ministerial setting, I chose the liturgical event of the assembly meeting of Denver Presbytery (PCUSA), of which I am a member.  Denver Presbytery organized the Mosaic Diversity Workgroup to help the member churches be aware of the significance of racial and ethnic diversity within and beyond the church and educate and train the church leaders by providing counseling and resources.  I have served on the Workgroup since it was launched.  The Presbytery has regularly held an assembly meeting every other month and invited the Workgroup to prepare and lead a worship service for the assembly meeting.  They also invited me to preach in that service.  </w:t>
      </w:r>
    </w:p>
    <w:p w:rsidR="00956DFD" w:rsidRPr="00956DFD" w:rsidRDefault="00956DFD" w:rsidP="00956DFD">
      <w:pPr>
        <w:pStyle w:val="BodyText2"/>
        <w:spacing w:before="0"/>
        <w:ind w:right="9"/>
        <w:jc w:val="left"/>
        <w:rPr>
          <w:szCs w:val="24"/>
        </w:rPr>
      </w:pPr>
      <w:r w:rsidRPr="00956DFD">
        <w:rPr>
          <w:b/>
          <w:szCs w:val="24"/>
        </w:rPr>
        <w:t>Stage One</w:t>
      </w:r>
      <w:r w:rsidRPr="00956DFD">
        <w:rPr>
          <w:szCs w:val="24"/>
        </w:rPr>
        <w:t xml:space="preserve">: I worked with seven other Workgroup members to prepare the service—two European American pastors serving predominantly White congregations, one in downtown and </w:t>
      </w:r>
      <w:r w:rsidRPr="00956DFD">
        <w:rPr>
          <w:szCs w:val="24"/>
        </w:rPr>
        <w:lastRenderedPageBreak/>
        <w:t>one in suburban Denver, one Hispanic American pastor serving a multiracial congregation of which the majority was White and sharing the church building with a Hispanic congregation, one Hispanic elder from that Hispanic congregation, one African American elder, whose congregation was predominantly Black, and two Presbytery staff members, one Hispanic and one African from Zimbabwe.  We gathered together four times to discuss and prepare for the worship service.</w:t>
      </w:r>
    </w:p>
    <w:p w:rsidR="00956DFD" w:rsidRPr="00956DFD" w:rsidRDefault="00956DFD" w:rsidP="00956DFD">
      <w:pPr>
        <w:pStyle w:val="BodyText2"/>
        <w:spacing w:before="0"/>
        <w:ind w:right="-522"/>
        <w:jc w:val="left"/>
        <w:rPr>
          <w:szCs w:val="24"/>
        </w:rPr>
      </w:pPr>
      <w:r w:rsidRPr="00956DFD">
        <w:rPr>
          <w:szCs w:val="24"/>
        </w:rPr>
        <w:t>Denver Presbytery has 10,500 believers on the membership rolls, with 54 congregations, including seven ethnic minority churches—one African American, one Korean American, one Myanmar American, one Vietnamese American, and three Latino American churches.  The average attendance of the assembly meetings is between 150 and 200 people, who are mostly the pastors and elders of these congregations and retired ministers.</w:t>
      </w:r>
      <w:r w:rsidRPr="00956DFD">
        <w:rPr>
          <w:rStyle w:val="FootnoteReference"/>
          <w:szCs w:val="24"/>
        </w:rPr>
        <w:footnoteReference w:id="19"/>
      </w:r>
      <w:r w:rsidRPr="00956DFD">
        <w:rPr>
          <w:szCs w:val="24"/>
        </w:rPr>
        <w:t xml:space="preserve">  While more than 85% of the members of Denver Presbytery are White, Denver has one of the highest populations of Hispanics or Latinos in the U.S.  According to the 2010 Census, 68.93% of the population is White alone, 10.24% is Black or African American alone, 1.37% is American Indian and Alaska native alone, 3.40% is Asian alone, 0.10% is Native Hawaiian and Other Pacific native alone, 4.09% is two or more races, and 11.86% is some other race alone.  It also reports that 68.18% of the population is Persons Not Hispanic or Latino Origin and 31.82% of the population is Persons of Hispanic or Latino Origin.</w:t>
      </w:r>
      <w:r w:rsidRPr="00956DFD">
        <w:rPr>
          <w:rStyle w:val="FootnoteReference"/>
          <w:szCs w:val="24"/>
        </w:rPr>
        <w:footnoteReference w:id="20"/>
      </w:r>
      <w:r w:rsidRPr="00956DFD">
        <w:rPr>
          <w:szCs w:val="24"/>
        </w:rPr>
        <w:t xml:space="preserve">  </w:t>
      </w:r>
    </w:p>
    <w:p w:rsidR="00956DFD" w:rsidRPr="00956DFD" w:rsidRDefault="00956DFD" w:rsidP="00956DFD">
      <w:pPr>
        <w:pStyle w:val="BodyText2"/>
        <w:spacing w:before="0"/>
        <w:ind w:right="-522"/>
        <w:jc w:val="left"/>
        <w:rPr>
          <w:szCs w:val="24"/>
        </w:rPr>
      </w:pPr>
      <w:r w:rsidRPr="00956DFD">
        <w:rPr>
          <w:szCs w:val="24"/>
        </w:rPr>
        <w:t xml:space="preserve">In this multiracial and multicultural environment, the member churches of Denver Presbytery are gradually becoming more diverse with the growing numbers of racially and ethnically different people as visitors and new members.  Yet, they have not paid sufficient attention to them.  For example, as I already mentioned in Chapter Six, my family and I have attended Sunday worship </w:t>
      </w:r>
      <w:r w:rsidRPr="00956DFD">
        <w:rPr>
          <w:szCs w:val="24"/>
        </w:rPr>
        <w:lastRenderedPageBreak/>
        <w:t xml:space="preserve">services in a predominantly White church located in suburban Denver for more than a decade.  When we first joined the church, my family was one of a few ethnic minority people in this three-hundred membership church.  But, it has gradually changed to be more multiracial and multicultural, and now about twenty percent of the attendees in the Sunday service are non-White, and the number is increasing every year.  While the pastor seems to be aware of their presence and attempts to acknowledge that by occasionally including their songs and native languages in the service, no comprehensive review or significant change of the worship service, from the multicultural perspective, has happened yet.  Other Workgroup members also shared their own experiences, which were similar to mine.  We discussed why our churches hesitated to welcome racially and ethnically different people and concluded that the main factor was the fear of the “strangers” caused by our ignorance and lack of knowledge and information about them. </w:t>
      </w:r>
    </w:p>
    <w:p w:rsidR="00956DFD" w:rsidRPr="00956DFD" w:rsidRDefault="00956DFD" w:rsidP="00956DFD">
      <w:pPr>
        <w:pStyle w:val="BodyText2"/>
        <w:spacing w:before="0"/>
        <w:ind w:right="9"/>
        <w:jc w:val="left"/>
        <w:rPr>
          <w:szCs w:val="24"/>
        </w:rPr>
      </w:pPr>
      <w:r w:rsidRPr="00956DFD">
        <w:rPr>
          <w:b/>
          <w:szCs w:val="24"/>
        </w:rPr>
        <w:t>Stage Two</w:t>
      </w:r>
      <w:r w:rsidRPr="00956DFD">
        <w:rPr>
          <w:szCs w:val="24"/>
        </w:rPr>
        <w:t xml:space="preserve">:  Based on the interpretation of the racial and cultural situations of Denver Presbytery, we decided to feature “Leading in Diversity” as the liturgical theme.  As the theme illumines, the goal of the worship service was to challenge the worshipers who were leaders of their local congregations to critically reflect on their congregational culture and to help them reimagine their preaching and worship from the multicultural perspective.  We also agreed to prepare the worship service to become a good liturgical model, through which the worshipers might envision their own congregational worship to be a foretaste of heavenly worship.  In addition, we agreed to offer a pre-assembly workshop before the worship service, in order to provide the attendees with an educational opportunity to see how racial prejudice is caused by fear and how to overcome it in positive and constructive ways.  </w:t>
      </w:r>
    </w:p>
    <w:p w:rsidR="00956DFD" w:rsidRPr="00956DFD" w:rsidRDefault="00956DFD" w:rsidP="00956DFD">
      <w:pPr>
        <w:pStyle w:val="BodyText2"/>
        <w:spacing w:before="0"/>
        <w:ind w:right="9"/>
        <w:jc w:val="left"/>
        <w:rPr>
          <w:szCs w:val="24"/>
        </w:rPr>
      </w:pPr>
      <w:r w:rsidRPr="00956DFD">
        <w:rPr>
          <w:szCs w:val="24"/>
        </w:rPr>
        <w:t xml:space="preserve">I had the privilege of selecting biblical texts for preaching in relation to the liturgical theme.  Among many biblical stories related to racial and cultural diversity, I chose Matthew </w:t>
      </w:r>
      <w:r w:rsidRPr="00956DFD">
        <w:rPr>
          <w:szCs w:val="24"/>
        </w:rPr>
        <w:lastRenderedPageBreak/>
        <w:t xml:space="preserve">15:21-28, the story of a Canaanite woman, as the main text, with the notion that Matthew’s community was similar to the churches in Denver Presbytery in the sense that it was racially homogenous and was challenged to open itself to people of other races and ethnicities.  I also chose Isaiah 56:1-8 as a supporting text to help the worshipers imagine the celestial vision for worship.  Based on the interpretation of these two texts, I titled the sermon “Leading toward Diversity.”    </w:t>
      </w:r>
    </w:p>
    <w:p w:rsidR="00956DFD" w:rsidRPr="00956DFD" w:rsidRDefault="00956DFD" w:rsidP="00956DFD">
      <w:pPr>
        <w:pStyle w:val="BodyText2"/>
        <w:spacing w:before="0"/>
        <w:ind w:right="9"/>
        <w:jc w:val="left"/>
        <w:rPr>
          <w:rFonts w:eastAsia="Times New Roman"/>
          <w:szCs w:val="24"/>
        </w:rPr>
      </w:pPr>
      <w:r w:rsidRPr="00956DFD">
        <w:rPr>
          <w:szCs w:val="24"/>
        </w:rPr>
        <w:t>In addition to studying the biblical texts, I was curious as to how other religions teach about racial and ethnic diversity.  Remembering that there were three Asian American congregations—the Korean, the Vietnamese, and the Myanmar—in Denver Presbytery and that their pastors and elders regularly attended assembly meetings, I researched their religious backgrounds and learned that, even though they were Christians, Buddhist teachings were deeply embedded in their way of life and worldview.  According to Buddhism, racial prejudice and discrimination based on physical differences are against the way of humanity.  During the Buddha’s time, the caste system rooted in racism was governing his society, but the enlightened Buddha denounced it by teaching his disciples that “</w:t>
      </w:r>
      <w:r w:rsidRPr="00956DFD">
        <w:rPr>
          <w:rFonts w:eastAsia="Times New Roman"/>
          <w:szCs w:val="24"/>
        </w:rPr>
        <w:t>the merits of people are to be judged not in terms of what they are born with but what they do with themselves.”</w:t>
      </w:r>
      <w:r w:rsidRPr="00956DFD">
        <w:rPr>
          <w:rStyle w:val="FootnoteReference"/>
          <w:rFonts w:eastAsia="Times New Roman"/>
          <w:szCs w:val="24"/>
        </w:rPr>
        <w:footnoteReference w:id="21"/>
      </w:r>
      <w:r w:rsidRPr="00956DFD">
        <w:rPr>
          <w:rFonts w:eastAsia="Times New Roman"/>
          <w:szCs w:val="24"/>
        </w:rPr>
        <w:t xml:space="preserve">  In the </w:t>
      </w:r>
      <w:r w:rsidRPr="00956DFD">
        <w:rPr>
          <w:rFonts w:eastAsia="Times New Roman"/>
          <w:i/>
          <w:szCs w:val="24"/>
        </w:rPr>
        <w:t xml:space="preserve">Metta </w:t>
      </w:r>
      <w:proofErr w:type="spellStart"/>
      <w:r w:rsidRPr="00956DFD">
        <w:rPr>
          <w:rFonts w:eastAsia="Times New Roman"/>
          <w:i/>
          <w:szCs w:val="24"/>
        </w:rPr>
        <w:t>Sutta</w:t>
      </w:r>
      <w:proofErr w:type="spellEnd"/>
      <w:r w:rsidRPr="00956DFD">
        <w:rPr>
          <w:rFonts w:eastAsia="Times New Roman"/>
          <w:szCs w:val="24"/>
        </w:rPr>
        <w:t xml:space="preserve">, he says: </w:t>
      </w:r>
    </w:p>
    <w:p w:rsidR="00956DFD" w:rsidRPr="00956DFD" w:rsidRDefault="00956DFD" w:rsidP="00956DFD">
      <w:pPr>
        <w:ind w:left="720"/>
        <w:rPr>
          <w:rFonts w:ascii="Times New Roman" w:eastAsia="Times New Roman" w:hAnsi="Times New Roman" w:cs="Times New Roman"/>
          <w:sz w:val="24"/>
          <w:szCs w:val="24"/>
        </w:rPr>
      </w:pPr>
      <w:r w:rsidRPr="00956DFD">
        <w:rPr>
          <w:rFonts w:ascii="Times New Roman" w:eastAsia="Times New Roman" w:hAnsi="Times New Roman" w:cs="Times New Roman"/>
          <w:sz w:val="24"/>
          <w:szCs w:val="24"/>
        </w:rPr>
        <w:t xml:space="preserve">May all beings be </w:t>
      </w:r>
      <w:proofErr w:type="gramStart"/>
      <w:r w:rsidRPr="00956DFD">
        <w:rPr>
          <w:rFonts w:ascii="Times New Roman" w:eastAsia="Times New Roman" w:hAnsi="Times New Roman" w:cs="Times New Roman"/>
          <w:sz w:val="24"/>
          <w:szCs w:val="24"/>
        </w:rPr>
        <w:t>happy.</w:t>
      </w:r>
      <w:proofErr w:type="gramEnd"/>
      <w:r w:rsidRPr="00956DFD">
        <w:rPr>
          <w:rFonts w:ascii="Times New Roman" w:eastAsia="Times New Roman" w:hAnsi="Times New Roman" w:cs="Times New Roman"/>
          <w:sz w:val="24"/>
          <w:szCs w:val="24"/>
        </w:rPr>
        <w:t xml:space="preserve"> </w:t>
      </w:r>
    </w:p>
    <w:p w:rsidR="00956DFD" w:rsidRPr="00956DFD" w:rsidRDefault="00956DFD" w:rsidP="00956DFD">
      <w:pPr>
        <w:ind w:firstLine="720"/>
        <w:rPr>
          <w:rFonts w:ascii="Times New Roman" w:eastAsia="Times New Roman" w:hAnsi="Times New Roman" w:cs="Times New Roman"/>
          <w:sz w:val="24"/>
          <w:szCs w:val="24"/>
        </w:rPr>
      </w:pPr>
      <w:r w:rsidRPr="00956DFD">
        <w:rPr>
          <w:rFonts w:ascii="Times New Roman" w:eastAsia="Times New Roman" w:hAnsi="Times New Roman" w:cs="Times New Roman"/>
          <w:sz w:val="24"/>
          <w:szCs w:val="24"/>
        </w:rPr>
        <w:t xml:space="preserve">May they be joyous and live in </w:t>
      </w:r>
      <w:proofErr w:type="gramStart"/>
      <w:r w:rsidRPr="00956DFD">
        <w:rPr>
          <w:rFonts w:ascii="Times New Roman" w:eastAsia="Times New Roman" w:hAnsi="Times New Roman" w:cs="Times New Roman"/>
          <w:sz w:val="24"/>
          <w:szCs w:val="24"/>
        </w:rPr>
        <w:t>safety.</w:t>
      </w:r>
      <w:proofErr w:type="gramEnd"/>
      <w:r w:rsidRPr="00956DFD">
        <w:rPr>
          <w:rFonts w:ascii="Times New Roman" w:eastAsia="Times New Roman" w:hAnsi="Times New Roman" w:cs="Times New Roman"/>
          <w:sz w:val="24"/>
          <w:szCs w:val="24"/>
        </w:rPr>
        <w:t xml:space="preserve"> </w:t>
      </w:r>
    </w:p>
    <w:p w:rsidR="00956DFD" w:rsidRPr="00956DFD" w:rsidRDefault="00956DFD" w:rsidP="00956DFD">
      <w:pPr>
        <w:ind w:firstLine="720"/>
        <w:rPr>
          <w:rFonts w:ascii="Times New Roman" w:eastAsia="Times New Roman" w:hAnsi="Times New Roman" w:cs="Times New Roman"/>
          <w:sz w:val="24"/>
          <w:szCs w:val="24"/>
        </w:rPr>
      </w:pPr>
      <w:r w:rsidRPr="00956DFD">
        <w:rPr>
          <w:rFonts w:ascii="Times New Roman" w:eastAsia="Times New Roman" w:hAnsi="Times New Roman" w:cs="Times New Roman"/>
          <w:sz w:val="24"/>
          <w:szCs w:val="24"/>
        </w:rPr>
        <w:t xml:space="preserve">All living beings, whether weak or strong, </w:t>
      </w:r>
    </w:p>
    <w:p w:rsidR="00956DFD" w:rsidRPr="00956DFD" w:rsidRDefault="00956DFD" w:rsidP="00956DFD">
      <w:pPr>
        <w:ind w:firstLine="720"/>
        <w:rPr>
          <w:rFonts w:ascii="Times New Roman" w:eastAsia="Times New Roman" w:hAnsi="Times New Roman" w:cs="Times New Roman"/>
          <w:sz w:val="24"/>
          <w:szCs w:val="24"/>
        </w:rPr>
      </w:pPr>
      <w:proofErr w:type="gramStart"/>
      <w:r w:rsidRPr="00956DFD">
        <w:rPr>
          <w:rFonts w:ascii="Times New Roman" w:eastAsia="Times New Roman" w:hAnsi="Times New Roman" w:cs="Times New Roman"/>
          <w:sz w:val="24"/>
          <w:szCs w:val="24"/>
        </w:rPr>
        <w:t>in</w:t>
      </w:r>
      <w:proofErr w:type="gramEnd"/>
      <w:r w:rsidRPr="00956DFD">
        <w:rPr>
          <w:rFonts w:ascii="Times New Roman" w:eastAsia="Times New Roman" w:hAnsi="Times New Roman" w:cs="Times New Roman"/>
          <w:sz w:val="24"/>
          <w:szCs w:val="24"/>
        </w:rPr>
        <w:t xml:space="preserve"> high or middle or low realms of existence, </w:t>
      </w:r>
    </w:p>
    <w:p w:rsidR="00956DFD" w:rsidRPr="00956DFD" w:rsidRDefault="00956DFD" w:rsidP="00956DFD">
      <w:pPr>
        <w:ind w:firstLine="720"/>
        <w:rPr>
          <w:rFonts w:ascii="Times New Roman" w:eastAsia="Times New Roman" w:hAnsi="Times New Roman" w:cs="Times New Roman"/>
          <w:sz w:val="24"/>
          <w:szCs w:val="24"/>
        </w:rPr>
      </w:pPr>
      <w:proofErr w:type="gramStart"/>
      <w:r w:rsidRPr="00956DFD">
        <w:rPr>
          <w:rFonts w:ascii="Times New Roman" w:eastAsia="Times New Roman" w:hAnsi="Times New Roman" w:cs="Times New Roman"/>
          <w:sz w:val="24"/>
          <w:szCs w:val="24"/>
        </w:rPr>
        <w:t>small</w:t>
      </w:r>
      <w:proofErr w:type="gramEnd"/>
      <w:r w:rsidRPr="00956DFD">
        <w:rPr>
          <w:rFonts w:ascii="Times New Roman" w:eastAsia="Times New Roman" w:hAnsi="Times New Roman" w:cs="Times New Roman"/>
          <w:sz w:val="24"/>
          <w:szCs w:val="24"/>
        </w:rPr>
        <w:t xml:space="preserve"> or great, visible or invisible, </w:t>
      </w:r>
    </w:p>
    <w:p w:rsidR="00956DFD" w:rsidRPr="00956DFD" w:rsidRDefault="00956DFD" w:rsidP="00956DFD">
      <w:pPr>
        <w:ind w:firstLine="720"/>
        <w:rPr>
          <w:rFonts w:ascii="Times New Roman" w:eastAsia="Times New Roman" w:hAnsi="Times New Roman" w:cs="Times New Roman"/>
          <w:sz w:val="24"/>
          <w:szCs w:val="24"/>
        </w:rPr>
      </w:pPr>
      <w:proofErr w:type="gramStart"/>
      <w:r w:rsidRPr="00956DFD">
        <w:rPr>
          <w:rFonts w:ascii="Times New Roman" w:eastAsia="Times New Roman" w:hAnsi="Times New Roman" w:cs="Times New Roman"/>
          <w:sz w:val="24"/>
          <w:szCs w:val="24"/>
        </w:rPr>
        <w:lastRenderedPageBreak/>
        <w:t>near</w:t>
      </w:r>
      <w:proofErr w:type="gramEnd"/>
      <w:r w:rsidRPr="00956DFD">
        <w:rPr>
          <w:rFonts w:ascii="Times New Roman" w:eastAsia="Times New Roman" w:hAnsi="Times New Roman" w:cs="Times New Roman"/>
          <w:sz w:val="24"/>
          <w:szCs w:val="24"/>
        </w:rPr>
        <w:t xml:space="preserve"> or far, born or to be born, </w:t>
      </w:r>
    </w:p>
    <w:p w:rsidR="00956DFD" w:rsidRPr="00956DFD" w:rsidRDefault="00956DFD" w:rsidP="00956DFD">
      <w:pPr>
        <w:ind w:firstLine="720"/>
        <w:rPr>
          <w:rFonts w:ascii="Times New Roman" w:eastAsia="Times New Roman" w:hAnsi="Times New Roman" w:cs="Times New Roman"/>
          <w:sz w:val="24"/>
          <w:szCs w:val="24"/>
        </w:rPr>
      </w:pPr>
      <w:proofErr w:type="gramStart"/>
      <w:r w:rsidRPr="00956DFD">
        <w:rPr>
          <w:rFonts w:ascii="Times New Roman" w:eastAsia="Times New Roman" w:hAnsi="Times New Roman" w:cs="Times New Roman"/>
          <w:sz w:val="24"/>
          <w:szCs w:val="24"/>
        </w:rPr>
        <w:t>let</w:t>
      </w:r>
      <w:proofErr w:type="gramEnd"/>
      <w:r w:rsidRPr="00956DFD">
        <w:rPr>
          <w:rFonts w:ascii="Times New Roman" w:eastAsia="Times New Roman" w:hAnsi="Times New Roman" w:cs="Times New Roman"/>
          <w:sz w:val="24"/>
          <w:szCs w:val="24"/>
        </w:rPr>
        <w:t xml:space="preserve"> no one deceive another, nor despise any being in any state; </w:t>
      </w:r>
    </w:p>
    <w:p w:rsidR="00956DFD" w:rsidRPr="00956DFD" w:rsidRDefault="00956DFD" w:rsidP="00956DFD">
      <w:pPr>
        <w:ind w:firstLine="720"/>
        <w:rPr>
          <w:rFonts w:ascii="Times New Roman" w:eastAsia="Times New Roman" w:hAnsi="Times New Roman" w:cs="Times New Roman"/>
          <w:sz w:val="24"/>
          <w:szCs w:val="24"/>
        </w:rPr>
      </w:pPr>
      <w:proofErr w:type="gramStart"/>
      <w:r w:rsidRPr="00956DFD">
        <w:rPr>
          <w:rFonts w:ascii="Times New Roman" w:eastAsia="Times New Roman" w:hAnsi="Times New Roman" w:cs="Times New Roman"/>
          <w:sz w:val="24"/>
          <w:szCs w:val="24"/>
        </w:rPr>
        <w:t>let</w:t>
      </w:r>
      <w:proofErr w:type="gramEnd"/>
      <w:r w:rsidRPr="00956DFD">
        <w:rPr>
          <w:rFonts w:ascii="Times New Roman" w:eastAsia="Times New Roman" w:hAnsi="Times New Roman" w:cs="Times New Roman"/>
          <w:sz w:val="24"/>
          <w:szCs w:val="24"/>
        </w:rPr>
        <w:t xml:space="preserve"> none by anger or hatred</w:t>
      </w:r>
    </w:p>
    <w:p w:rsidR="00956DFD" w:rsidRPr="00956DFD" w:rsidRDefault="00956DFD" w:rsidP="00956DFD">
      <w:pPr>
        <w:ind w:firstLine="720"/>
        <w:rPr>
          <w:rFonts w:ascii="Times New Roman" w:eastAsia="Times New Roman" w:hAnsi="Times New Roman" w:cs="Times New Roman"/>
          <w:sz w:val="24"/>
          <w:szCs w:val="24"/>
        </w:rPr>
      </w:pPr>
      <w:proofErr w:type="gramStart"/>
      <w:r w:rsidRPr="00956DFD">
        <w:rPr>
          <w:rFonts w:ascii="Times New Roman" w:eastAsia="Times New Roman" w:hAnsi="Times New Roman" w:cs="Times New Roman"/>
          <w:sz w:val="24"/>
          <w:szCs w:val="24"/>
        </w:rPr>
        <w:t>wish</w:t>
      </w:r>
      <w:proofErr w:type="gramEnd"/>
      <w:r w:rsidRPr="00956DFD">
        <w:rPr>
          <w:rFonts w:ascii="Times New Roman" w:eastAsia="Times New Roman" w:hAnsi="Times New Roman" w:cs="Times New Roman"/>
          <w:sz w:val="24"/>
          <w:szCs w:val="24"/>
        </w:rPr>
        <w:t xml:space="preserve"> harm to another. </w:t>
      </w:r>
    </w:p>
    <w:p w:rsidR="00956DFD" w:rsidRPr="00956DFD" w:rsidRDefault="00956DFD" w:rsidP="00956DFD">
      <w:pPr>
        <w:ind w:firstLine="720"/>
        <w:rPr>
          <w:rFonts w:ascii="Times New Roman" w:eastAsia="Times New Roman" w:hAnsi="Times New Roman" w:cs="Times New Roman"/>
          <w:sz w:val="24"/>
          <w:szCs w:val="24"/>
        </w:rPr>
      </w:pPr>
      <w:r w:rsidRPr="00956DFD">
        <w:rPr>
          <w:rFonts w:ascii="Times New Roman" w:eastAsia="Times New Roman" w:hAnsi="Times New Roman" w:cs="Times New Roman"/>
          <w:sz w:val="24"/>
          <w:szCs w:val="24"/>
        </w:rPr>
        <w:t xml:space="preserve">Even as a mother at the risk of her life watches over </w:t>
      </w:r>
    </w:p>
    <w:p w:rsidR="00956DFD" w:rsidRPr="00956DFD" w:rsidRDefault="00956DFD" w:rsidP="00956DFD">
      <w:pPr>
        <w:ind w:firstLine="720"/>
        <w:rPr>
          <w:rFonts w:ascii="Times New Roman" w:eastAsia="Times New Roman" w:hAnsi="Times New Roman" w:cs="Times New Roman"/>
          <w:sz w:val="24"/>
          <w:szCs w:val="24"/>
        </w:rPr>
      </w:pPr>
      <w:proofErr w:type="gramStart"/>
      <w:r w:rsidRPr="00956DFD">
        <w:rPr>
          <w:rFonts w:ascii="Times New Roman" w:eastAsia="Times New Roman" w:hAnsi="Times New Roman" w:cs="Times New Roman"/>
          <w:sz w:val="24"/>
          <w:szCs w:val="24"/>
        </w:rPr>
        <w:t>and</w:t>
      </w:r>
      <w:proofErr w:type="gramEnd"/>
      <w:r w:rsidRPr="00956DFD">
        <w:rPr>
          <w:rFonts w:ascii="Times New Roman" w:eastAsia="Times New Roman" w:hAnsi="Times New Roman" w:cs="Times New Roman"/>
          <w:sz w:val="24"/>
          <w:szCs w:val="24"/>
        </w:rPr>
        <w:t xml:space="preserve"> protects her only child, </w:t>
      </w:r>
    </w:p>
    <w:p w:rsidR="00956DFD" w:rsidRPr="00956DFD" w:rsidRDefault="00956DFD" w:rsidP="00956DFD">
      <w:pPr>
        <w:ind w:firstLine="720"/>
        <w:rPr>
          <w:rFonts w:ascii="Times New Roman" w:eastAsia="Times New Roman" w:hAnsi="Times New Roman" w:cs="Times New Roman"/>
          <w:sz w:val="24"/>
          <w:szCs w:val="24"/>
        </w:rPr>
      </w:pPr>
      <w:proofErr w:type="gramStart"/>
      <w:r w:rsidRPr="00956DFD">
        <w:rPr>
          <w:rFonts w:ascii="Times New Roman" w:eastAsia="Times New Roman" w:hAnsi="Times New Roman" w:cs="Times New Roman"/>
          <w:sz w:val="24"/>
          <w:szCs w:val="24"/>
        </w:rPr>
        <w:t>so</w:t>
      </w:r>
      <w:proofErr w:type="gramEnd"/>
      <w:r w:rsidRPr="00956DFD">
        <w:rPr>
          <w:rFonts w:ascii="Times New Roman" w:eastAsia="Times New Roman" w:hAnsi="Times New Roman" w:cs="Times New Roman"/>
          <w:sz w:val="24"/>
          <w:szCs w:val="24"/>
        </w:rPr>
        <w:t xml:space="preserve"> with a boundless mind should one cherish all living things, </w:t>
      </w:r>
    </w:p>
    <w:p w:rsidR="00956DFD" w:rsidRPr="00956DFD" w:rsidRDefault="00956DFD" w:rsidP="00956DFD">
      <w:pPr>
        <w:ind w:firstLine="720"/>
        <w:rPr>
          <w:rFonts w:ascii="Times New Roman" w:eastAsia="Times New Roman" w:hAnsi="Times New Roman" w:cs="Times New Roman"/>
          <w:sz w:val="24"/>
          <w:szCs w:val="24"/>
        </w:rPr>
      </w:pPr>
      <w:proofErr w:type="gramStart"/>
      <w:r w:rsidRPr="00956DFD">
        <w:rPr>
          <w:rFonts w:ascii="Times New Roman" w:eastAsia="Times New Roman" w:hAnsi="Times New Roman" w:cs="Times New Roman"/>
          <w:sz w:val="24"/>
          <w:szCs w:val="24"/>
        </w:rPr>
        <w:t>suffusing</w:t>
      </w:r>
      <w:proofErr w:type="gramEnd"/>
      <w:r w:rsidRPr="00956DFD">
        <w:rPr>
          <w:rFonts w:ascii="Times New Roman" w:eastAsia="Times New Roman" w:hAnsi="Times New Roman" w:cs="Times New Roman"/>
          <w:sz w:val="24"/>
          <w:szCs w:val="24"/>
        </w:rPr>
        <w:t xml:space="preserve"> love over the entire world, above, below, </w:t>
      </w:r>
    </w:p>
    <w:p w:rsidR="00956DFD" w:rsidRPr="00956DFD" w:rsidRDefault="00956DFD" w:rsidP="00956DFD">
      <w:pPr>
        <w:ind w:firstLine="720"/>
        <w:rPr>
          <w:rFonts w:ascii="Times New Roman" w:eastAsia="Times New Roman" w:hAnsi="Times New Roman" w:cs="Times New Roman"/>
          <w:sz w:val="24"/>
          <w:szCs w:val="24"/>
        </w:rPr>
      </w:pPr>
      <w:proofErr w:type="gramStart"/>
      <w:r w:rsidRPr="00956DFD">
        <w:rPr>
          <w:rFonts w:ascii="Times New Roman" w:eastAsia="Times New Roman" w:hAnsi="Times New Roman" w:cs="Times New Roman"/>
          <w:sz w:val="24"/>
          <w:szCs w:val="24"/>
        </w:rPr>
        <w:t>and</w:t>
      </w:r>
      <w:proofErr w:type="gramEnd"/>
      <w:r w:rsidRPr="00956DFD">
        <w:rPr>
          <w:rFonts w:ascii="Times New Roman" w:eastAsia="Times New Roman" w:hAnsi="Times New Roman" w:cs="Times New Roman"/>
          <w:sz w:val="24"/>
          <w:szCs w:val="24"/>
        </w:rPr>
        <w:t xml:space="preserve"> all around, without limit; </w:t>
      </w:r>
    </w:p>
    <w:p w:rsidR="00956DFD" w:rsidRPr="00956DFD" w:rsidRDefault="00956DFD" w:rsidP="00E0704D">
      <w:pPr>
        <w:spacing w:after="0"/>
        <w:ind w:firstLine="720"/>
        <w:rPr>
          <w:rFonts w:ascii="Times New Roman" w:eastAsia="Times New Roman" w:hAnsi="Times New Roman" w:cs="Times New Roman"/>
          <w:sz w:val="24"/>
          <w:szCs w:val="24"/>
        </w:rPr>
      </w:pPr>
      <w:proofErr w:type="gramStart"/>
      <w:r w:rsidRPr="00956DFD">
        <w:rPr>
          <w:rFonts w:ascii="Times New Roman" w:eastAsia="Times New Roman" w:hAnsi="Times New Roman" w:cs="Times New Roman"/>
          <w:sz w:val="24"/>
          <w:szCs w:val="24"/>
        </w:rPr>
        <w:t>so</w:t>
      </w:r>
      <w:proofErr w:type="gramEnd"/>
      <w:r w:rsidRPr="00956DFD">
        <w:rPr>
          <w:rFonts w:ascii="Times New Roman" w:eastAsia="Times New Roman" w:hAnsi="Times New Roman" w:cs="Times New Roman"/>
          <w:sz w:val="24"/>
          <w:szCs w:val="24"/>
        </w:rPr>
        <w:t xml:space="preserve"> let one cultivate an infinite good will toward the whole world.</w:t>
      </w:r>
      <w:r w:rsidRPr="00956DFD">
        <w:rPr>
          <w:rStyle w:val="FootnoteReference"/>
          <w:rFonts w:ascii="Times New Roman" w:eastAsia="Times New Roman" w:hAnsi="Times New Roman" w:cs="Times New Roman"/>
          <w:sz w:val="24"/>
          <w:szCs w:val="24"/>
        </w:rPr>
        <w:footnoteReference w:id="22"/>
      </w:r>
    </w:p>
    <w:p w:rsidR="00956DFD" w:rsidRPr="00956DFD" w:rsidRDefault="00956DFD" w:rsidP="00956DFD">
      <w:pPr>
        <w:rPr>
          <w:rFonts w:ascii="Times New Roman" w:eastAsia="Times New Roman" w:hAnsi="Times New Roman" w:cs="Times New Roman"/>
          <w:sz w:val="24"/>
          <w:szCs w:val="24"/>
        </w:rPr>
      </w:pPr>
    </w:p>
    <w:p w:rsidR="00956DFD" w:rsidRPr="00956DFD" w:rsidRDefault="00956DFD" w:rsidP="00E0704D">
      <w:pPr>
        <w:spacing w:after="0" w:line="480" w:lineRule="auto"/>
        <w:rPr>
          <w:rFonts w:ascii="Times New Roman" w:eastAsia="Times New Roman" w:hAnsi="Times New Roman" w:cs="Times New Roman"/>
          <w:sz w:val="24"/>
          <w:szCs w:val="24"/>
        </w:rPr>
      </w:pPr>
      <w:r w:rsidRPr="00956DFD">
        <w:rPr>
          <w:rFonts w:ascii="Times New Roman" w:hAnsi="Times New Roman" w:cs="Times New Roman"/>
          <w:sz w:val="24"/>
          <w:szCs w:val="24"/>
        </w:rPr>
        <w:t xml:space="preserve">Based on this teaching, Rosa </w:t>
      </w:r>
      <w:proofErr w:type="spellStart"/>
      <w:r w:rsidRPr="00956DFD">
        <w:rPr>
          <w:rFonts w:ascii="Times New Roman" w:eastAsia="Times New Roman" w:hAnsi="Times New Roman" w:cs="Times New Roman"/>
          <w:sz w:val="24"/>
          <w:szCs w:val="24"/>
        </w:rPr>
        <w:t>Zubizarreta</w:t>
      </w:r>
      <w:proofErr w:type="spellEnd"/>
      <w:r w:rsidRPr="00956DFD">
        <w:rPr>
          <w:rFonts w:ascii="Times New Roman" w:hAnsi="Times New Roman" w:cs="Times New Roman"/>
          <w:sz w:val="24"/>
          <w:szCs w:val="24"/>
        </w:rPr>
        <w:t xml:space="preserve"> exhorts us, saying that “t</w:t>
      </w:r>
      <w:r w:rsidRPr="00956DFD">
        <w:rPr>
          <w:rFonts w:ascii="Times New Roman" w:eastAsia="Times New Roman" w:hAnsi="Times New Roman" w:cs="Times New Roman"/>
          <w:sz w:val="24"/>
          <w:szCs w:val="24"/>
        </w:rPr>
        <w:t>he Buddha left his father’s castle to learn about the suffering of the world.  How often do we extend ourselves outside the realms of our own privilege in order to become familiar with the suffering of others? . . . As long as we ourselves are not able to feel completely close to all other human beings, it is we ourselves who are living in illusion.”</w:t>
      </w:r>
      <w:r w:rsidRPr="00956DFD">
        <w:rPr>
          <w:rStyle w:val="FootnoteReference"/>
          <w:rFonts w:ascii="Times New Roman" w:eastAsia="Times New Roman" w:hAnsi="Times New Roman" w:cs="Times New Roman"/>
          <w:sz w:val="24"/>
          <w:szCs w:val="24"/>
        </w:rPr>
        <w:footnoteReference w:id="23"/>
      </w:r>
      <w:r w:rsidRPr="00956DFD">
        <w:rPr>
          <w:rFonts w:ascii="Times New Roman" w:eastAsia="Times New Roman" w:hAnsi="Times New Roman" w:cs="Times New Roman"/>
          <w:sz w:val="24"/>
          <w:szCs w:val="24"/>
        </w:rPr>
        <w:t xml:space="preserve">  </w:t>
      </w:r>
    </w:p>
    <w:p w:rsidR="00956DFD" w:rsidRPr="00956DFD" w:rsidRDefault="00956DFD" w:rsidP="00E0704D">
      <w:pPr>
        <w:spacing w:after="0" w:line="480" w:lineRule="auto"/>
        <w:ind w:firstLine="720"/>
        <w:rPr>
          <w:rFonts w:ascii="Times New Roman" w:hAnsi="Times New Roman" w:cs="Times New Roman"/>
          <w:sz w:val="24"/>
          <w:szCs w:val="24"/>
        </w:rPr>
      </w:pPr>
      <w:r w:rsidRPr="00956DFD">
        <w:rPr>
          <w:rFonts w:ascii="Times New Roman" w:eastAsia="Times New Roman" w:hAnsi="Times New Roman" w:cs="Times New Roman"/>
          <w:sz w:val="24"/>
          <w:szCs w:val="24"/>
        </w:rPr>
        <w:t xml:space="preserve">Buddhist teachings on race and racial diversity correspond to what I perceived in the two biblical texts.  Furthermore, they emphasize that love makes us overcome racial bias and discrimination, which is implicit in the biblical texts.  Based on the understanding of the biblical texts through the dialogue with Buddhist teachings, the focus statement of the sermon was that Jesus was challenged by the Canaanite woman to demonstrate the love of God for humanity </w:t>
      </w:r>
      <w:r w:rsidRPr="00956DFD">
        <w:rPr>
          <w:rFonts w:ascii="Times New Roman" w:eastAsia="Times New Roman" w:hAnsi="Times New Roman" w:cs="Times New Roman"/>
          <w:sz w:val="24"/>
          <w:szCs w:val="24"/>
        </w:rPr>
        <w:lastRenderedPageBreak/>
        <w:t xml:space="preserve">beyond racial and ethnic differences.  The function of the sermon was to encourage the worshipers to love one another beyond our racial and ethnic boundaries as Jesus did in the story.  </w:t>
      </w:r>
    </w:p>
    <w:p w:rsidR="00956DFD" w:rsidRPr="00956DFD" w:rsidRDefault="00956DFD" w:rsidP="00956DFD">
      <w:pPr>
        <w:pStyle w:val="BodyText2"/>
        <w:spacing w:before="0"/>
        <w:ind w:right="9"/>
        <w:jc w:val="left"/>
        <w:rPr>
          <w:szCs w:val="24"/>
        </w:rPr>
      </w:pPr>
      <w:r w:rsidRPr="00956DFD">
        <w:rPr>
          <w:b/>
          <w:szCs w:val="24"/>
        </w:rPr>
        <w:t>Stage Three</w:t>
      </w:r>
      <w:r w:rsidRPr="00956DFD">
        <w:rPr>
          <w:szCs w:val="24"/>
        </w:rPr>
        <w:t xml:space="preserve">:  In crafting the sermon, I followed the plot of the story in Matthew 15:21-28 and analogically connected each move to our contemporary experiences.  The worshipers were invited to be active participants in the beginning of the sermon by acting out the story with the preacher in the role of the Canaanite woman, so that they might feel empathetically what she felt as a racially excluded person.  Throughout the sermon, they would be encouraged to represent voices of the racially and ethnically marginalized people within and beyond their own churches and to lead their congregations to extend their love beyond people of their own race and ethnicity.     </w:t>
      </w:r>
    </w:p>
    <w:p w:rsidR="00956DFD" w:rsidRPr="00956DFD" w:rsidRDefault="00956DFD" w:rsidP="00956DFD">
      <w:pPr>
        <w:pStyle w:val="BodyText2"/>
        <w:spacing w:before="0"/>
        <w:ind w:right="9"/>
        <w:jc w:val="left"/>
        <w:rPr>
          <w:szCs w:val="24"/>
        </w:rPr>
      </w:pPr>
      <w:r w:rsidRPr="00956DFD">
        <w:rPr>
          <w:szCs w:val="24"/>
        </w:rPr>
        <w:t>The liturgy was designed following the basic movement of the Presbyterian service for the Lord’s Day,</w:t>
      </w:r>
      <w:r w:rsidRPr="00956DFD">
        <w:rPr>
          <w:rStyle w:val="FootnoteReference"/>
          <w:szCs w:val="24"/>
        </w:rPr>
        <w:footnoteReference w:id="24"/>
      </w:r>
      <w:r w:rsidRPr="00956DFD">
        <w:rPr>
          <w:szCs w:val="24"/>
        </w:rPr>
        <w:t xml:space="preserve"> since it was for a Presbyterian event.  We were, however, careful to select words, music, prayers, and languages to represent the racial and cultural diversity of the worshipers.  We also invited the racially and linguistically marginalized worshipers to play an active role in creating beautiful and inspiring worship.  For example, five native languages of the worshipers—English, Spanish, German, and Vietnamese, and Korean—were used in singing, scripture reading, prayers, and benediction, in tandem with English translations, both written in the worship bulletin and projected on the screen.  </w:t>
      </w:r>
    </w:p>
    <w:p w:rsidR="00956DFD" w:rsidRPr="00956DFD" w:rsidRDefault="00956DFD" w:rsidP="00956DFD">
      <w:pPr>
        <w:pStyle w:val="BodyText2"/>
        <w:spacing w:before="0"/>
        <w:ind w:right="9"/>
        <w:jc w:val="left"/>
        <w:rPr>
          <w:szCs w:val="24"/>
        </w:rPr>
      </w:pPr>
      <w:r w:rsidRPr="00956DFD">
        <w:rPr>
          <w:szCs w:val="24"/>
        </w:rPr>
        <w:t xml:space="preserve">The flow of the service was designed with the invocation of the Holy Spirit in the beginning, the transforming moment of preaching, the experience of unity-in-diversity through communion, and celebration with a closing hymn and benediction at the end.  I could imagine the climax of the service when the people sang the closing hymn, “We Are Marching,” in three </w:t>
      </w:r>
      <w:r w:rsidRPr="00956DFD">
        <w:rPr>
          <w:szCs w:val="24"/>
        </w:rPr>
        <w:lastRenderedPageBreak/>
        <w:t xml:space="preserve">different languages, dancing to the sound of an African drum.  The moment of the benediction could be the penultimate when words of blessing in 2 Corinthians 13:13 were delivered by four racially and linguistically different people in their native tongues in harmony from the four corners of the sanctuary.  </w:t>
      </w:r>
    </w:p>
    <w:p w:rsidR="00956DFD" w:rsidRPr="00956DFD" w:rsidRDefault="00956DFD" w:rsidP="00956DFD">
      <w:pPr>
        <w:pStyle w:val="BodyText2"/>
        <w:spacing w:before="0"/>
        <w:ind w:right="9"/>
        <w:jc w:val="left"/>
        <w:rPr>
          <w:szCs w:val="24"/>
        </w:rPr>
      </w:pPr>
      <w:r w:rsidRPr="00956DFD">
        <w:rPr>
          <w:b/>
          <w:szCs w:val="24"/>
        </w:rPr>
        <w:t>Stage Four</w:t>
      </w:r>
      <w:r w:rsidRPr="00956DFD">
        <w:rPr>
          <w:szCs w:val="24"/>
        </w:rPr>
        <w:t xml:space="preserve">:  After the worship service, the congregation had a luncheon as a community meal.  We, the Mosaic Diversity Workgroup, could have informal conversations with the worshipers during the lunch time and receive their feedback.  Although we intentionally designed the worship service as a beautiful kaleidoscope representing the cultural diversity of the worshipers, some of them said that such multicultural worship was a totally new, transforming experience for them through which they could imagine what heavenly worship might be like.  Others said that the sermon was invitational and powerful to move their hearts to change their attitudes toward the racially and ethnically marginalized people.   </w:t>
      </w:r>
    </w:p>
    <w:p w:rsidR="00956DFD" w:rsidRPr="00956DFD" w:rsidRDefault="00956DFD" w:rsidP="00956DFD">
      <w:pPr>
        <w:pStyle w:val="BodyText2"/>
        <w:spacing w:before="0"/>
        <w:ind w:right="9"/>
        <w:jc w:val="left"/>
        <w:rPr>
          <w:szCs w:val="24"/>
        </w:rPr>
      </w:pPr>
      <w:r w:rsidRPr="00956DFD">
        <w:rPr>
          <w:szCs w:val="24"/>
        </w:rPr>
        <w:t xml:space="preserve">When I discussed the service with other members of the Workgroup, one of them commented that the scripture reading of Isaiah 56:1-8 in Vietnamese was too long because he was not used to hearing a foreign language, although the Vietnamese pastor read it with enthusiasm.  Some other members said that it was a wonderful experience to worship in many languages in harmony.  Some also pointed out that the closing song could have been done with more musical instruments, such as tambourines and gongs, to generate a more celebrative mood and emotional energy.  </w:t>
      </w:r>
    </w:p>
    <w:p w:rsidR="00956DFD" w:rsidRPr="00956DFD" w:rsidRDefault="00956DFD" w:rsidP="00956DFD">
      <w:pPr>
        <w:pStyle w:val="BodyText2"/>
        <w:spacing w:before="0"/>
        <w:ind w:right="9"/>
        <w:jc w:val="left"/>
        <w:rPr>
          <w:szCs w:val="24"/>
        </w:rPr>
      </w:pPr>
      <w:r w:rsidRPr="00956DFD">
        <w:rPr>
          <w:szCs w:val="24"/>
        </w:rPr>
        <w:t xml:space="preserve">In addition, I wondered if I could have been more explicit about Buddhist teachings on racial diversity in the service.  I neither included reading the Buddhist texts in the order of the service nor referenced them in the sermon, but integrated their teachings in the interpretation of the biblical texts.  If I had directly quoted them in the sermon or read them in conjunction with </w:t>
      </w:r>
      <w:r w:rsidRPr="00956DFD">
        <w:rPr>
          <w:szCs w:val="24"/>
        </w:rPr>
        <w:lastRenderedPageBreak/>
        <w:t xml:space="preserve">the biblical texts, how would the Presbyterian worshipers who have been raised by </w:t>
      </w:r>
      <w:r w:rsidRPr="00956DFD">
        <w:rPr>
          <w:i/>
          <w:szCs w:val="24"/>
        </w:rPr>
        <w:t xml:space="preserve">solar scriptura </w:t>
      </w:r>
      <w:r w:rsidRPr="00956DFD">
        <w:rPr>
          <w:szCs w:val="24"/>
        </w:rPr>
        <w:t>react to that?</w:t>
      </w:r>
      <w:r w:rsidRPr="00956DFD">
        <w:rPr>
          <w:rStyle w:val="FootnoteReference"/>
          <w:szCs w:val="24"/>
        </w:rPr>
        <w:footnoteReference w:id="25"/>
      </w:r>
      <w:r w:rsidRPr="00956DFD">
        <w:rPr>
          <w:szCs w:val="24"/>
        </w:rPr>
        <w:t xml:space="preserve">  Making a decision on the use of other sacred texts in a Christian worship in the future liturgical event depends on the pastoral sensitivity of the preacher and worship leaders to the level of appreciation of cultural diversity of the worshipers.    </w:t>
      </w:r>
    </w:p>
    <w:p w:rsidR="00956DFD" w:rsidRPr="00956DFD" w:rsidRDefault="00956DFD" w:rsidP="00956DFD">
      <w:pPr>
        <w:pStyle w:val="BodyText2"/>
        <w:spacing w:before="0"/>
        <w:ind w:right="9"/>
        <w:jc w:val="left"/>
        <w:rPr>
          <w:szCs w:val="24"/>
        </w:rPr>
      </w:pPr>
      <w:r w:rsidRPr="00956DFD">
        <w:rPr>
          <w:szCs w:val="24"/>
        </w:rPr>
        <w:t xml:space="preserve">The evaluation of the sermon and the liturgy in this stage is a turning point, beginning a new cycle of the spiral movement of the reflective practical theological method for the next worship service.  The preacher and worship leaders are invited to the never-ending spiral movement to discern and communicate practical wisdom with the worshipers for the transformation of our multicultural church and society toward the eschatological vision of God’s reign.  </w:t>
      </w:r>
    </w:p>
    <w:p w:rsidR="00FB2658" w:rsidRPr="00D6369B" w:rsidRDefault="00D6369B" w:rsidP="00D6369B">
      <w:pPr>
        <w:pStyle w:val="BodyText2"/>
        <w:spacing w:before="0"/>
        <w:ind w:right="9" w:firstLine="0"/>
        <w:jc w:val="center"/>
        <w:rPr>
          <w:b/>
          <w:szCs w:val="24"/>
        </w:rPr>
      </w:pPr>
      <w:r>
        <w:rPr>
          <w:b/>
          <w:szCs w:val="24"/>
        </w:rPr>
        <w:t xml:space="preserve">Other </w:t>
      </w:r>
      <w:r w:rsidRPr="00D6369B">
        <w:rPr>
          <w:b/>
          <w:szCs w:val="24"/>
        </w:rPr>
        <w:t>R</w:t>
      </w:r>
      <w:r w:rsidR="00FB2658" w:rsidRPr="00D6369B">
        <w:rPr>
          <w:b/>
          <w:szCs w:val="24"/>
        </w:rPr>
        <w:t>esources for Multicultural Worship</w:t>
      </w:r>
    </w:p>
    <w:p w:rsidR="00DC4332" w:rsidRPr="00956DFD" w:rsidRDefault="00BC4934" w:rsidP="0072412B">
      <w:pPr>
        <w:spacing w:after="0" w:line="480" w:lineRule="auto"/>
        <w:rPr>
          <w:rFonts w:ascii="Times New Roman" w:hAnsi="Times New Roman" w:cs="Times New Roman"/>
          <w:sz w:val="24"/>
          <w:szCs w:val="24"/>
        </w:rPr>
      </w:pPr>
      <w:r w:rsidRPr="00956DFD">
        <w:rPr>
          <w:rFonts w:ascii="Times New Roman" w:hAnsi="Times New Roman" w:cs="Times New Roman"/>
          <w:sz w:val="24"/>
          <w:szCs w:val="24"/>
        </w:rPr>
        <w:t xml:space="preserve">As you find in the section of Resources for Multicultural Worship on the course homepage of the Canvas, I </w:t>
      </w:r>
      <w:r w:rsidR="00FB2658" w:rsidRPr="00956DFD">
        <w:rPr>
          <w:rFonts w:ascii="Times New Roman" w:hAnsi="Times New Roman" w:cs="Times New Roman"/>
          <w:sz w:val="24"/>
          <w:szCs w:val="24"/>
        </w:rPr>
        <w:t xml:space="preserve">have </w:t>
      </w:r>
      <w:r w:rsidRPr="00956DFD">
        <w:rPr>
          <w:rFonts w:ascii="Times New Roman" w:hAnsi="Times New Roman" w:cs="Times New Roman"/>
          <w:sz w:val="24"/>
          <w:szCs w:val="24"/>
        </w:rPr>
        <w:t xml:space="preserve">posted </w:t>
      </w:r>
      <w:r w:rsidR="00D6369B">
        <w:rPr>
          <w:rFonts w:ascii="Times New Roman" w:hAnsi="Times New Roman" w:cs="Times New Roman"/>
          <w:sz w:val="24"/>
          <w:szCs w:val="24"/>
        </w:rPr>
        <w:t xml:space="preserve">two more </w:t>
      </w:r>
      <w:r w:rsidRPr="00956DFD">
        <w:rPr>
          <w:rFonts w:ascii="Times New Roman" w:hAnsi="Times New Roman" w:cs="Times New Roman"/>
          <w:sz w:val="24"/>
          <w:szCs w:val="24"/>
        </w:rPr>
        <w:t xml:space="preserve">worship bulletins that I created </w:t>
      </w:r>
      <w:r w:rsidR="00DC4332" w:rsidRPr="00956DFD">
        <w:rPr>
          <w:rFonts w:ascii="Times New Roman" w:hAnsi="Times New Roman" w:cs="Times New Roman"/>
          <w:sz w:val="24"/>
          <w:szCs w:val="24"/>
        </w:rPr>
        <w:t>for special occasions</w:t>
      </w:r>
      <w:r w:rsidR="00FB2658" w:rsidRPr="00956DFD">
        <w:rPr>
          <w:rFonts w:ascii="Times New Roman" w:hAnsi="Times New Roman" w:cs="Times New Roman"/>
          <w:sz w:val="24"/>
          <w:szCs w:val="24"/>
        </w:rPr>
        <w:t xml:space="preserve"> </w:t>
      </w:r>
      <w:r w:rsidR="00D6369B">
        <w:rPr>
          <w:rFonts w:ascii="Times New Roman" w:hAnsi="Times New Roman" w:cs="Times New Roman"/>
          <w:sz w:val="24"/>
          <w:szCs w:val="24"/>
        </w:rPr>
        <w:t xml:space="preserve">for your </w:t>
      </w:r>
      <w:r w:rsidR="00FB2658" w:rsidRPr="00956DFD">
        <w:rPr>
          <w:rFonts w:ascii="Times New Roman" w:hAnsi="Times New Roman" w:cs="Times New Roman"/>
          <w:sz w:val="24"/>
          <w:szCs w:val="24"/>
        </w:rPr>
        <w:t>reference</w:t>
      </w:r>
      <w:r w:rsidR="00DC4332" w:rsidRPr="00956DFD">
        <w:rPr>
          <w:rFonts w:ascii="Times New Roman" w:hAnsi="Times New Roman" w:cs="Times New Roman"/>
          <w:sz w:val="24"/>
          <w:szCs w:val="24"/>
        </w:rPr>
        <w:t>:</w:t>
      </w:r>
    </w:p>
    <w:p w:rsidR="00DC4332" w:rsidRPr="00956DFD" w:rsidRDefault="0072412B" w:rsidP="0072412B">
      <w:pPr>
        <w:pStyle w:val="ListParagraph"/>
        <w:numPr>
          <w:ilvl w:val="0"/>
          <w:numId w:val="1"/>
        </w:numPr>
        <w:spacing w:after="0" w:line="480" w:lineRule="auto"/>
        <w:ind w:left="360"/>
        <w:rPr>
          <w:rFonts w:ascii="Times New Roman" w:hAnsi="Times New Roman" w:cs="Times New Roman"/>
          <w:sz w:val="24"/>
          <w:szCs w:val="24"/>
          <w:u w:val="single"/>
        </w:rPr>
      </w:pPr>
      <w:r w:rsidRPr="00956DFD">
        <w:rPr>
          <w:rFonts w:ascii="Times New Roman" w:hAnsi="Times New Roman" w:cs="Times New Roman"/>
          <w:sz w:val="24"/>
          <w:szCs w:val="24"/>
          <w:u w:val="single"/>
        </w:rPr>
        <w:t>W</w:t>
      </w:r>
      <w:r w:rsidR="00DC4332" w:rsidRPr="00956DFD">
        <w:rPr>
          <w:rFonts w:ascii="Times New Roman" w:hAnsi="Times New Roman" w:cs="Times New Roman"/>
          <w:sz w:val="24"/>
          <w:szCs w:val="24"/>
          <w:u w:val="single"/>
        </w:rPr>
        <w:t xml:space="preserve">orship </w:t>
      </w:r>
      <w:r w:rsidRPr="00956DFD">
        <w:rPr>
          <w:rFonts w:ascii="Times New Roman" w:hAnsi="Times New Roman" w:cs="Times New Roman"/>
          <w:sz w:val="24"/>
          <w:szCs w:val="24"/>
          <w:u w:val="single"/>
        </w:rPr>
        <w:t>at</w:t>
      </w:r>
      <w:r w:rsidR="00DC4332" w:rsidRPr="00956DFD">
        <w:rPr>
          <w:rFonts w:ascii="Times New Roman" w:hAnsi="Times New Roman" w:cs="Times New Roman"/>
          <w:sz w:val="24"/>
          <w:szCs w:val="24"/>
          <w:u w:val="single"/>
        </w:rPr>
        <w:t xml:space="preserve"> the 2010 A</w:t>
      </w:r>
      <w:r w:rsidR="00BC4934" w:rsidRPr="00956DFD">
        <w:rPr>
          <w:rFonts w:ascii="Times New Roman" w:hAnsi="Times New Roman" w:cs="Times New Roman"/>
          <w:sz w:val="24"/>
          <w:szCs w:val="24"/>
          <w:u w:val="single"/>
        </w:rPr>
        <w:t xml:space="preserve">cademy of Homiletics </w:t>
      </w:r>
      <w:r w:rsidR="00DC4332" w:rsidRPr="00956DFD">
        <w:rPr>
          <w:rFonts w:ascii="Times New Roman" w:hAnsi="Times New Roman" w:cs="Times New Roman"/>
          <w:sz w:val="24"/>
          <w:szCs w:val="24"/>
          <w:u w:val="single"/>
        </w:rPr>
        <w:t>C</w:t>
      </w:r>
      <w:r w:rsidR="00BC4934" w:rsidRPr="00956DFD">
        <w:rPr>
          <w:rFonts w:ascii="Times New Roman" w:hAnsi="Times New Roman" w:cs="Times New Roman"/>
          <w:sz w:val="24"/>
          <w:szCs w:val="24"/>
          <w:u w:val="single"/>
        </w:rPr>
        <w:t>onference</w:t>
      </w:r>
      <w:r w:rsidR="00DC4332" w:rsidRPr="00956DFD">
        <w:rPr>
          <w:rFonts w:ascii="Times New Roman" w:hAnsi="Times New Roman" w:cs="Times New Roman"/>
          <w:sz w:val="24"/>
          <w:szCs w:val="24"/>
          <w:u w:val="single"/>
        </w:rPr>
        <w:t xml:space="preserve">:  </w:t>
      </w:r>
    </w:p>
    <w:p w:rsidR="00ED13F7" w:rsidRPr="00956DFD" w:rsidRDefault="00E163FD" w:rsidP="00FB26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C4332" w:rsidRPr="00956DFD">
        <w:rPr>
          <w:rFonts w:ascii="Times New Roman" w:hAnsi="Times New Roman" w:cs="Times New Roman"/>
          <w:sz w:val="24"/>
          <w:szCs w:val="24"/>
        </w:rPr>
        <w:t xml:space="preserve">his service was designed as a </w:t>
      </w:r>
      <w:r w:rsidR="0039305E" w:rsidRPr="00956DFD">
        <w:rPr>
          <w:rFonts w:ascii="Times New Roman" w:hAnsi="Times New Roman" w:cs="Times New Roman"/>
          <w:sz w:val="24"/>
          <w:szCs w:val="24"/>
        </w:rPr>
        <w:t xml:space="preserve">multicultural and </w:t>
      </w:r>
      <w:r w:rsidR="00DC4332" w:rsidRPr="00956DFD">
        <w:rPr>
          <w:rFonts w:ascii="Times New Roman" w:hAnsi="Times New Roman" w:cs="Times New Roman"/>
          <w:sz w:val="24"/>
          <w:szCs w:val="24"/>
        </w:rPr>
        <w:t>multilingual service</w:t>
      </w:r>
      <w:r w:rsidR="003873AC" w:rsidRPr="00956DFD">
        <w:rPr>
          <w:rFonts w:ascii="Times New Roman" w:hAnsi="Times New Roman" w:cs="Times New Roman"/>
          <w:sz w:val="24"/>
          <w:szCs w:val="24"/>
        </w:rPr>
        <w:t xml:space="preserve"> in English, Spanish, Chinese, Korean, and Dutch</w:t>
      </w:r>
      <w:r w:rsidR="00DC4332" w:rsidRPr="00956DFD">
        <w:rPr>
          <w:rFonts w:ascii="Times New Roman" w:hAnsi="Times New Roman" w:cs="Times New Roman"/>
          <w:sz w:val="24"/>
          <w:szCs w:val="24"/>
        </w:rPr>
        <w:t xml:space="preserve">.  As a member of the Executive Committee, I was privileged to prepare for this worship service.  Although the Academy of Homiletics is a forty-year-old professional guild, of which about 300 preaching professors in the Us and other countries are members, this service was the first that used </w:t>
      </w:r>
      <w:r w:rsidR="003873AC" w:rsidRPr="00956DFD">
        <w:rPr>
          <w:rFonts w:ascii="Times New Roman" w:hAnsi="Times New Roman" w:cs="Times New Roman"/>
          <w:sz w:val="24"/>
          <w:szCs w:val="24"/>
        </w:rPr>
        <w:t xml:space="preserve">more than English by including some of those whose native languages are not English to participate in worship in their native tongues.  They created the liturgical components assigned to them in their native languages and practiced </w:t>
      </w:r>
      <w:r w:rsidR="003873AC" w:rsidRPr="00956DFD">
        <w:rPr>
          <w:rFonts w:ascii="Times New Roman" w:hAnsi="Times New Roman" w:cs="Times New Roman"/>
          <w:sz w:val="24"/>
          <w:szCs w:val="24"/>
        </w:rPr>
        <w:lastRenderedPageBreak/>
        <w:t>together before the service.  I invited a Korean preacher who was good at the Korean “</w:t>
      </w:r>
      <w:proofErr w:type="spellStart"/>
      <w:r w:rsidR="003873AC" w:rsidRPr="00956DFD">
        <w:rPr>
          <w:rFonts w:ascii="Times New Roman" w:hAnsi="Times New Roman" w:cs="Times New Roman"/>
          <w:sz w:val="24"/>
          <w:szCs w:val="24"/>
        </w:rPr>
        <w:t>chang</w:t>
      </w:r>
      <w:proofErr w:type="spellEnd"/>
      <w:r w:rsidR="003873AC" w:rsidRPr="00956DFD">
        <w:rPr>
          <w:rFonts w:ascii="Times New Roman" w:hAnsi="Times New Roman" w:cs="Times New Roman"/>
          <w:sz w:val="24"/>
          <w:szCs w:val="24"/>
        </w:rPr>
        <w:t xml:space="preserve">” style (the Korean traditional opera) preaching to </w:t>
      </w:r>
      <w:r w:rsidR="00ED13F7" w:rsidRPr="00956DFD">
        <w:rPr>
          <w:rFonts w:ascii="Times New Roman" w:hAnsi="Times New Roman" w:cs="Times New Roman"/>
          <w:sz w:val="24"/>
          <w:szCs w:val="24"/>
        </w:rPr>
        <w:t xml:space="preserve">do Scripture reading and </w:t>
      </w:r>
      <w:r w:rsidR="003873AC" w:rsidRPr="00956DFD">
        <w:rPr>
          <w:rFonts w:ascii="Times New Roman" w:hAnsi="Times New Roman" w:cs="Times New Roman"/>
          <w:sz w:val="24"/>
          <w:szCs w:val="24"/>
        </w:rPr>
        <w:t>preach</w:t>
      </w:r>
      <w:r w:rsidR="00ED13F7" w:rsidRPr="00956DFD">
        <w:rPr>
          <w:rFonts w:ascii="Times New Roman" w:hAnsi="Times New Roman" w:cs="Times New Roman"/>
          <w:sz w:val="24"/>
          <w:szCs w:val="24"/>
        </w:rPr>
        <w:t>ing in that style</w:t>
      </w:r>
      <w:r w:rsidR="003873AC" w:rsidRPr="00956DFD">
        <w:rPr>
          <w:rFonts w:ascii="Times New Roman" w:hAnsi="Times New Roman" w:cs="Times New Roman"/>
          <w:sz w:val="24"/>
          <w:szCs w:val="24"/>
        </w:rPr>
        <w:t xml:space="preserve"> in Korean, in order to provide the attendees with a learning </w:t>
      </w:r>
      <w:r w:rsidR="00ED13F7" w:rsidRPr="00956DFD">
        <w:rPr>
          <w:rFonts w:ascii="Times New Roman" w:hAnsi="Times New Roman" w:cs="Times New Roman"/>
          <w:sz w:val="24"/>
          <w:szCs w:val="24"/>
        </w:rPr>
        <w:t xml:space="preserve">moment </w:t>
      </w:r>
      <w:r w:rsidR="003873AC" w:rsidRPr="00956DFD">
        <w:rPr>
          <w:rFonts w:ascii="Times New Roman" w:hAnsi="Times New Roman" w:cs="Times New Roman"/>
          <w:sz w:val="24"/>
          <w:szCs w:val="24"/>
        </w:rPr>
        <w:t xml:space="preserve">about a different style of preaching, and his sermon was translated into English on the screen.  </w:t>
      </w:r>
      <w:r w:rsidR="00025331" w:rsidRPr="00956DFD">
        <w:rPr>
          <w:rFonts w:ascii="Times New Roman" w:hAnsi="Times New Roman" w:cs="Times New Roman"/>
          <w:sz w:val="24"/>
          <w:szCs w:val="24"/>
        </w:rPr>
        <w:t xml:space="preserve">Other liturgical components done in other than English included English translations in the bulletin for the understanding of the worshipers.  The Benediction was done in three different languages at the same time harmoniously.  During the Sing-Along time, the congregation was taught the songs in different </w:t>
      </w:r>
      <w:proofErr w:type="gramStart"/>
      <w:r w:rsidR="00025331" w:rsidRPr="00956DFD">
        <w:rPr>
          <w:rFonts w:ascii="Times New Roman" w:hAnsi="Times New Roman" w:cs="Times New Roman"/>
          <w:sz w:val="24"/>
          <w:szCs w:val="24"/>
        </w:rPr>
        <w:t>languages, that</w:t>
      </w:r>
      <w:proofErr w:type="gramEnd"/>
      <w:r w:rsidR="00025331" w:rsidRPr="00956DFD">
        <w:rPr>
          <w:rFonts w:ascii="Times New Roman" w:hAnsi="Times New Roman" w:cs="Times New Roman"/>
          <w:sz w:val="24"/>
          <w:szCs w:val="24"/>
        </w:rPr>
        <w:t xml:space="preserve"> they were going to sing in worship.  </w:t>
      </w:r>
    </w:p>
    <w:p w:rsidR="0039305E" w:rsidRPr="00956DFD" w:rsidRDefault="00ED13F7" w:rsidP="00FB2658">
      <w:pPr>
        <w:spacing w:after="0"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My goal for this service was not to simply introduce different cultural practices of worship (“adaptation” in Yee’s term (</w:t>
      </w:r>
      <w:r w:rsidRPr="00E163FD">
        <w:rPr>
          <w:rFonts w:ascii="Times New Roman" w:hAnsi="Times New Roman" w:cs="Times New Roman"/>
          <w:i/>
          <w:sz w:val="24"/>
          <w:szCs w:val="24"/>
        </w:rPr>
        <w:t>Worship on the Way</w:t>
      </w:r>
      <w:r w:rsidRPr="00956DFD">
        <w:rPr>
          <w:rFonts w:ascii="Times New Roman" w:hAnsi="Times New Roman" w:cs="Times New Roman"/>
          <w:sz w:val="24"/>
          <w:szCs w:val="24"/>
        </w:rPr>
        <w:t>, 85-6)), but to integrate them into the service</w:t>
      </w:r>
      <w:r w:rsidR="0039305E" w:rsidRPr="00956DFD">
        <w:rPr>
          <w:rFonts w:ascii="Times New Roman" w:hAnsi="Times New Roman" w:cs="Times New Roman"/>
          <w:sz w:val="24"/>
          <w:szCs w:val="24"/>
        </w:rPr>
        <w:t xml:space="preserve">, so that </w:t>
      </w:r>
      <w:r w:rsidRPr="00956DFD">
        <w:rPr>
          <w:rFonts w:ascii="Times New Roman" w:hAnsi="Times New Roman" w:cs="Times New Roman"/>
          <w:sz w:val="24"/>
          <w:szCs w:val="24"/>
        </w:rPr>
        <w:t xml:space="preserve">the congregation </w:t>
      </w:r>
      <w:r w:rsidR="0039305E" w:rsidRPr="00956DFD">
        <w:rPr>
          <w:rFonts w:ascii="Times New Roman" w:hAnsi="Times New Roman" w:cs="Times New Roman"/>
          <w:sz w:val="24"/>
          <w:szCs w:val="24"/>
        </w:rPr>
        <w:t xml:space="preserve">might </w:t>
      </w:r>
      <w:r w:rsidRPr="00956DFD">
        <w:rPr>
          <w:rFonts w:ascii="Times New Roman" w:hAnsi="Times New Roman" w:cs="Times New Roman"/>
          <w:sz w:val="24"/>
          <w:szCs w:val="24"/>
        </w:rPr>
        <w:t xml:space="preserve">experience “authentic worship” by singing and praying </w:t>
      </w:r>
      <w:r w:rsidR="0039305E" w:rsidRPr="00956DFD">
        <w:rPr>
          <w:rFonts w:ascii="Times New Roman" w:hAnsi="Times New Roman" w:cs="Times New Roman"/>
          <w:sz w:val="24"/>
          <w:szCs w:val="24"/>
        </w:rPr>
        <w:t xml:space="preserve">together </w:t>
      </w:r>
      <w:r w:rsidRPr="00956DFD">
        <w:rPr>
          <w:rFonts w:ascii="Times New Roman" w:hAnsi="Times New Roman" w:cs="Times New Roman"/>
          <w:sz w:val="24"/>
          <w:szCs w:val="24"/>
        </w:rPr>
        <w:t xml:space="preserve">as part of their </w:t>
      </w:r>
      <w:r w:rsidR="0039305E" w:rsidRPr="00956DFD">
        <w:rPr>
          <w:rFonts w:ascii="Times New Roman" w:hAnsi="Times New Roman" w:cs="Times New Roman"/>
          <w:sz w:val="24"/>
          <w:szCs w:val="24"/>
        </w:rPr>
        <w:t>spiritual practice</w:t>
      </w:r>
      <w:r w:rsidRPr="00956DFD">
        <w:rPr>
          <w:rFonts w:ascii="Times New Roman" w:hAnsi="Times New Roman" w:cs="Times New Roman"/>
          <w:sz w:val="24"/>
          <w:szCs w:val="24"/>
        </w:rPr>
        <w:t xml:space="preserve"> (“integration” in Yee’s term, 86).  After worship, </w:t>
      </w:r>
      <w:r w:rsidR="0039305E" w:rsidRPr="00956DFD">
        <w:rPr>
          <w:rFonts w:ascii="Times New Roman" w:hAnsi="Times New Roman" w:cs="Times New Roman"/>
          <w:sz w:val="24"/>
          <w:szCs w:val="24"/>
        </w:rPr>
        <w:t xml:space="preserve">I got feedback from them that the service was a beautiful confluence through which they could experience the miracle of Pentecost in Acts 2:1-11. </w:t>
      </w:r>
    </w:p>
    <w:p w:rsidR="002225C7" w:rsidRPr="00956DFD" w:rsidRDefault="00163956" w:rsidP="002225C7">
      <w:pPr>
        <w:pStyle w:val="ListParagraph"/>
        <w:numPr>
          <w:ilvl w:val="0"/>
          <w:numId w:val="1"/>
        </w:numPr>
        <w:spacing w:after="0" w:line="480" w:lineRule="auto"/>
        <w:ind w:left="360"/>
        <w:rPr>
          <w:rFonts w:ascii="Times New Roman" w:hAnsi="Times New Roman" w:cs="Times New Roman"/>
          <w:sz w:val="24"/>
          <w:szCs w:val="24"/>
          <w:u w:val="single"/>
        </w:rPr>
      </w:pPr>
      <w:r w:rsidRPr="00956DFD">
        <w:rPr>
          <w:rFonts w:ascii="Times New Roman" w:hAnsi="Times New Roman" w:cs="Times New Roman"/>
          <w:sz w:val="24"/>
          <w:szCs w:val="24"/>
          <w:u w:val="single"/>
        </w:rPr>
        <w:t xml:space="preserve">Worship at the </w:t>
      </w:r>
      <w:proofErr w:type="spellStart"/>
      <w:r w:rsidRPr="00956DFD">
        <w:rPr>
          <w:rFonts w:ascii="Times New Roman" w:hAnsi="Times New Roman" w:cs="Times New Roman"/>
          <w:sz w:val="24"/>
          <w:szCs w:val="24"/>
          <w:u w:val="single"/>
        </w:rPr>
        <w:t>Iliff</w:t>
      </w:r>
      <w:proofErr w:type="spellEnd"/>
      <w:r w:rsidRPr="00956DFD">
        <w:rPr>
          <w:rFonts w:ascii="Times New Roman" w:hAnsi="Times New Roman" w:cs="Times New Roman"/>
          <w:sz w:val="24"/>
          <w:szCs w:val="24"/>
          <w:u w:val="single"/>
        </w:rPr>
        <w:t xml:space="preserve"> Chapel</w:t>
      </w:r>
      <w:r w:rsidR="002225C7" w:rsidRPr="00956DFD">
        <w:rPr>
          <w:rFonts w:ascii="Times New Roman" w:hAnsi="Times New Roman" w:cs="Times New Roman"/>
          <w:sz w:val="24"/>
          <w:szCs w:val="24"/>
          <w:u w:val="single"/>
        </w:rPr>
        <w:t>:</w:t>
      </w:r>
    </w:p>
    <w:p w:rsidR="0072412B" w:rsidRPr="00956DFD" w:rsidRDefault="002225C7" w:rsidP="00FB2658">
      <w:pPr>
        <w:pStyle w:val="ListParagraph"/>
        <w:spacing w:after="0" w:line="480" w:lineRule="auto"/>
        <w:ind w:left="0" w:firstLine="720"/>
        <w:rPr>
          <w:rFonts w:ascii="Times New Roman" w:hAnsi="Times New Roman" w:cs="Times New Roman"/>
          <w:sz w:val="24"/>
          <w:szCs w:val="24"/>
        </w:rPr>
      </w:pPr>
      <w:r w:rsidRPr="00956DFD">
        <w:rPr>
          <w:rFonts w:ascii="Times New Roman" w:hAnsi="Times New Roman" w:cs="Times New Roman"/>
          <w:sz w:val="24"/>
          <w:szCs w:val="24"/>
        </w:rPr>
        <w:t>I was invited to preach at the chapel on the Gathering Days week of this quarter</w:t>
      </w:r>
      <w:r w:rsidR="007E3057" w:rsidRPr="00956DFD">
        <w:rPr>
          <w:rFonts w:ascii="Times New Roman" w:hAnsi="Times New Roman" w:cs="Times New Roman"/>
          <w:sz w:val="24"/>
          <w:szCs w:val="24"/>
        </w:rPr>
        <w:t>, the first week of Easter</w:t>
      </w:r>
      <w:r w:rsidRPr="00956DFD">
        <w:rPr>
          <w:rFonts w:ascii="Times New Roman" w:hAnsi="Times New Roman" w:cs="Times New Roman"/>
          <w:sz w:val="24"/>
          <w:szCs w:val="24"/>
        </w:rPr>
        <w:t xml:space="preserve">.  It was </w:t>
      </w:r>
      <w:r w:rsidR="00682676" w:rsidRPr="00956DFD">
        <w:rPr>
          <w:rFonts w:ascii="Times New Roman" w:hAnsi="Times New Roman" w:cs="Times New Roman"/>
          <w:sz w:val="24"/>
          <w:szCs w:val="24"/>
        </w:rPr>
        <w:t xml:space="preserve">a </w:t>
      </w:r>
      <w:r w:rsidRPr="00956DFD">
        <w:rPr>
          <w:rFonts w:ascii="Times New Roman" w:hAnsi="Times New Roman" w:cs="Times New Roman"/>
          <w:sz w:val="24"/>
          <w:szCs w:val="24"/>
        </w:rPr>
        <w:t xml:space="preserve">joy for me to meet Bill there face to face.   </w:t>
      </w:r>
      <w:r w:rsidR="00BC4934" w:rsidRPr="00956DFD">
        <w:rPr>
          <w:rFonts w:ascii="Times New Roman" w:hAnsi="Times New Roman" w:cs="Times New Roman"/>
          <w:sz w:val="24"/>
          <w:szCs w:val="24"/>
        </w:rPr>
        <w:t xml:space="preserve">The </w:t>
      </w:r>
      <w:r w:rsidR="007E3057" w:rsidRPr="00956DFD">
        <w:rPr>
          <w:rFonts w:ascii="Times New Roman" w:hAnsi="Times New Roman" w:cs="Times New Roman"/>
          <w:sz w:val="24"/>
          <w:szCs w:val="24"/>
        </w:rPr>
        <w:t>basic format of the order of the service was prepared by the</w:t>
      </w:r>
      <w:r w:rsidR="00BC4934" w:rsidRPr="00956DFD">
        <w:rPr>
          <w:rFonts w:ascii="Times New Roman" w:hAnsi="Times New Roman" w:cs="Times New Roman"/>
          <w:sz w:val="24"/>
          <w:szCs w:val="24"/>
        </w:rPr>
        <w:t xml:space="preserve"> Dean of the Chapel</w:t>
      </w:r>
      <w:r w:rsidR="007E3057" w:rsidRPr="00956DFD">
        <w:rPr>
          <w:rFonts w:ascii="Times New Roman" w:hAnsi="Times New Roman" w:cs="Times New Roman"/>
          <w:sz w:val="24"/>
          <w:szCs w:val="24"/>
        </w:rPr>
        <w:t>,</w:t>
      </w:r>
      <w:r w:rsidR="00BC4934" w:rsidRPr="00956DFD">
        <w:rPr>
          <w:rFonts w:ascii="Times New Roman" w:hAnsi="Times New Roman" w:cs="Times New Roman"/>
          <w:sz w:val="24"/>
          <w:szCs w:val="24"/>
        </w:rPr>
        <w:t xml:space="preserve"> </w:t>
      </w:r>
      <w:r w:rsidR="007E3057" w:rsidRPr="00956DFD">
        <w:rPr>
          <w:rFonts w:ascii="Times New Roman" w:hAnsi="Times New Roman" w:cs="Times New Roman"/>
          <w:sz w:val="24"/>
          <w:szCs w:val="24"/>
        </w:rPr>
        <w:t xml:space="preserve">Cathie Kelsey, following the </w:t>
      </w:r>
      <w:proofErr w:type="spellStart"/>
      <w:r w:rsidR="007E3057" w:rsidRPr="00956DFD">
        <w:rPr>
          <w:rFonts w:ascii="Times New Roman" w:hAnsi="Times New Roman" w:cs="Times New Roman"/>
          <w:sz w:val="24"/>
          <w:szCs w:val="24"/>
        </w:rPr>
        <w:t>Iliff</w:t>
      </w:r>
      <w:proofErr w:type="spellEnd"/>
      <w:r w:rsidR="007E3057" w:rsidRPr="00956DFD">
        <w:rPr>
          <w:rFonts w:ascii="Times New Roman" w:hAnsi="Times New Roman" w:cs="Times New Roman"/>
          <w:sz w:val="24"/>
          <w:szCs w:val="24"/>
        </w:rPr>
        <w:t xml:space="preserve"> chapel service pattern.  One week before the day of the service, I forwarded my sermon manuscript to her for her reference to the selections of other liturgical components.  Based on the content of the sermon, she crafted the Litany and chose some songs.   </w:t>
      </w:r>
      <w:r w:rsidR="00682676" w:rsidRPr="00956DFD">
        <w:rPr>
          <w:rFonts w:ascii="Times New Roman" w:hAnsi="Times New Roman" w:cs="Times New Roman"/>
          <w:sz w:val="24"/>
          <w:szCs w:val="24"/>
        </w:rPr>
        <w:t>Since a</w:t>
      </w:r>
      <w:r w:rsidR="007E3057" w:rsidRPr="00956DFD">
        <w:rPr>
          <w:rFonts w:ascii="Times New Roman" w:hAnsi="Times New Roman" w:cs="Times New Roman"/>
          <w:sz w:val="24"/>
          <w:szCs w:val="24"/>
        </w:rPr>
        <w:t xml:space="preserve"> few dozens of people gathered</w:t>
      </w:r>
      <w:r w:rsidR="00845775" w:rsidRPr="00956DFD">
        <w:rPr>
          <w:rFonts w:ascii="Times New Roman" w:hAnsi="Times New Roman" w:cs="Times New Roman"/>
          <w:sz w:val="24"/>
          <w:szCs w:val="24"/>
        </w:rPr>
        <w:t>,</w:t>
      </w:r>
      <w:r w:rsidR="007E3057" w:rsidRPr="00956DFD">
        <w:rPr>
          <w:rFonts w:ascii="Times New Roman" w:hAnsi="Times New Roman" w:cs="Times New Roman"/>
          <w:sz w:val="24"/>
          <w:szCs w:val="24"/>
        </w:rPr>
        <w:t xml:space="preserve"> as usual as in other </w:t>
      </w:r>
      <w:proofErr w:type="spellStart"/>
      <w:r w:rsidR="007E3057" w:rsidRPr="00956DFD">
        <w:rPr>
          <w:rFonts w:ascii="Times New Roman" w:hAnsi="Times New Roman" w:cs="Times New Roman"/>
          <w:sz w:val="24"/>
          <w:szCs w:val="24"/>
        </w:rPr>
        <w:t>Iliff</w:t>
      </w:r>
      <w:proofErr w:type="spellEnd"/>
      <w:r w:rsidR="007E3057" w:rsidRPr="00956DFD">
        <w:rPr>
          <w:rFonts w:ascii="Times New Roman" w:hAnsi="Times New Roman" w:cs="Times New Roman"/>
          <w:sz w:val="24"/>
          <w:szCs w:val="24"/>
        </w:rPr>
        <w:t xml:space="preserve"> chapel services, I chose to preach on the floor rather than on the chancel in order to feel intimate with the congregation.  Unfortunately, the photographer was so sick at the </w:t>
      </w:r>
      <w:r w:rsidR="007E3057" w:rsidRPr="00956DFD">
        <w:rPr>
          <w:rFonts w:ascii="Times New Roman" w:hAnsi="Times New Roman" w:cs="Times New Roman"/>
          <w:sz w:val="24"/>
          <w:szCs w:val="24"/>
        </w:rPr>
        <w:lastRenderedPageBreak/>
        <w:t xml:space="preserve">last minute that she could not come to videotape the service.  </w:t>
      </w:r>
      <w:r w:rsidR="00CA6420" w:rsidRPr="00956DFD">
        <w:rPr>
          <w:rFonts w:ascii="Times New Roman" w:hAnsi="Times New Roman" w:cs="Times New Roman"/>
          <w:sz w:val="24"/>
          <w:szCs w:val="24"/>
        </w:rPr>
        <w:t>T</w:t>
      </w:r>
      <w:r w:rsidR="003C7029" w:rsidRPr="00956DFD">
        <w:rPr>
          <w:rFonts w:ascii="Times New Roman" w:hAnsi="Times New Roman" w:cs="Times New Roman"/>
          <w:sz w:val="24"/>
          <w:szCs w:val="24"/>
        </w:rPr>
        <w:t xml:space="preserve">he bulletin </w:t>
      </w:r>
      <w:r w:rsidR="00CA6420" w:rsidRPr="00956DFD">
        <w:rPr>
          <w:rFonts w:ascii="Times New Roman" w:hAnsi="Times New Roman" w:cs="Times New Roman"/>
          <w:sz w:val="24"/>
          <w:szCs w:val="24"/>
        </w:rPr>
        <w:t xml:space="preserve">gives an impression that this service seems not to be designed from a multicultural perspective, compared with the previous two worship bulletins.  However, it was a multicultural and bilingual service.  Although the bulletin includes only English, </w:t>
      </w:r>
      <w:r w:rsidR="003C7029" w:rsidRPr="00956DFD">
        <w:rPr>
          <w:rFonts w:ascii="Times New Roman" w:hAnsi="Times New Roman" w:cs="Times New Roman"/>
          <w:sz w:val="24"/>
          <w:szCs w:val="24"/>
        </w:rPr>
        <w:t xml:space="preserve">I used Korean when I offered the Benediction.  I spoke in Korean and then in English.  I also </w:t>
      </w:r>
      <w:r w:rsidR="007E3057" w:rsidRPr="00956DFD">
        <w:rPr>
          <w:rFonts w:ascii="Times New Roman" w:hAnsi="Times New Roman" w:cs="Times New Roman"/>
          <w:sz w:val="24"/>
          <w:szCs w:val="24"/>
        </w:rPr>
        <w:t xml:space="preserve">requested Dr. Kelsey to include </w:t>
      </w:r>
      <w:r w:rsidR="003C7029" w:rsidRPr="00956DFD">
        <w:rPr>
          <w:rFonts w:ascii="Times New Roman" w:hAnsi="Times New Roman" w:cs="Times New Roman"/>
          <w:sz w:val="24"/>
          <w:szCs w:val="24"/>
        </w:rPr>
        <w:t>“Come Now, O Prince of Peace (“O-so-so”)”</w:t>
      </w:r>
      <w:r w:rsidR="007E3057" w:rsidRPr="00956DFD">
        <w:rPr>
          <w:rFonts w:ascii="Times New Roman" w:hAnsi="Times New Roman" w:cs="Times New Roman"/>
          <w:sz w:val="24"/>
          <w:szCs w:val="24"/>
        </w:rPr>
        <w:t xml:space="preserve"> </w:t>
      </w:r>
      <w:r w:rsidR="003C7029" w:rsidRPr="00956DFD">
        <w:rPr>
          <w:rFonts w:ascii="Times New Roman" w:hAnsi="Times New Roman" w:cs="Times New Roman"/>
          <w:sz w:val="24"/>
          <w:szCs w:val="24"/>
        </w:rPr>
        <w:t>as the responsive song</w:t>
      </w:r>
      <w:r w:rsidR="007E3057" w:rsidRPr="00956DFD">
        <w:rPr>
          <w:rFonts w:ascii="Times New Roman" w:hAnsi="Times New Roman" w:cs="Times New Roman"/>
          <w:sz w:val="24"/>
          <w:szCs w:val="24"/>
        </w:rPr>
        <w:t xml:space="preserve"> after preaching.  It is a </w:t>
      </w:r>
      <w:r w:rsidR="00CA6420" w:rsidRPr="00956DFD">
        <w:rPr>
          <w:rFonts w:ascii="Times New Roman" w:hAnsi="Times New Roman" w:cs="Times New Roman"/>
          <w:sz w:val="24"/>
          <w:szCs w:val="24"/>
        </w:rPr>
        <w:t>bilingual song i</w:t>
      </w:r>
      <w:r w:rsidR="003C7029" w:rsidRPr="00956DFD">
        <w:rPr>
          <w:rFonts w:ascii="Times New Roman" w:hAnsi="Times New Roman" w:cs="Times New Roman"/>
          <w:sz w:val="24"/>
          <w:szCs w:val="24"/>
        </w:rPr>
        <w:t xml:space="preserve">n </w:t>
      </w:r>
      <w:r w:rsidR="00CA6420" w:rsidRPr="00956DFD">
        <w:rPr>
          <w:rFonts w:ascii="Times New Roman" w:hAnsi="Times New Roman" w:cs="Times New Roman"/>
          <w:sz w:val="24"/>
          <w:szCs w:val="24"/>
        </w:rPr>
        <w:t>K</w:t>
      </w:r>
      <w:r w:rsidR="003C7029" w:rsidRPr="00956DFD">
        <w:rPr>
          <w:rFonts w:ascii="Times New Roman" w:hAnsi="Times New Roman" w:cs="Times New Roman"/>
          <w:sz w:val="24"/>
          <w:szCs w:val="24"/>
        </w:rPr>
        <w:t>orean and English</w:t>
      </w:r>
      <w:r w:rsidR="00CA6420" w:rsidRPr="00956DFD">
        <w:rPr>
          <w:rFonts w:ascii="Times New Roman" w:hAnsi="Times New Roman" w:cs="Times New Roman"/>
          <w:sz w:val="24"/>
          <w:szCs w:val="24"/>
        </w:rPr>
        <w:t>, originally composed to sing for</w:t>
      </w:r>
      <w:r w:rsidR="003C7029" w:rsidRPr="00956DFD">
        <w:rPr>
          <w:rFonts w:ascii="Times New Roman" w:hAnsi="Times New Roman" w:cs="Times New Roman"/>
          <w:sz w:val="24"/>
          <w:szCs w:val="24"/>
        </w:rPr>
        <w:t xml:space="preserve"> peace </w:t>
      </w:r>
      <w:r w:rsidR="00CA6420" w:rsidRPr="00956DFD">
        <w:rPr>
          <w:rFonts w:ascii="Times New Roman" w:hAnsi="Times New Roman" w:cs="Times New Roman"/>
          <w:sz w:val="24"/>
          <w:szCs w:val="24"/>
        </w:rPr>
        <w:t xml:space="preserve">in Korea, yearning for </w:t>
      </w:r>
      <w:r w:rsidR="003C7029" w:rsidRPr="00956DFD">
        <w:rPr>
          <w:rFonts w:ascii="Times New Roman" w:hAnsi="Times New Roman" w:cs="Times New Roman"/>
          <w:sz w:val="24"/>
          <w:szCs w:val="24"/>
        </w:rPr>
        <w:t>national reunification</w:t>
      </w:r>
      <w:r w:rsidR="00CA6420" w:rsidRPr="00956DFD">
        <w:rPr>
          <w:rFonts w:ascii="Times New Roman" w:hAnsi="Times New Roman" w:cs="Times New Roman"/>
          <w:sz w:val="24"/>
          <w:szCs w:val="24"/>
        </w:rPr>
        <w:t xml:space="preserve"> through non-violence.</w:t>
      </w:r>
      <w:r w:rsidR="003C7029" w:rsidRPr="00956DFD">
        <w:rPr>
          <w:rFonts w:ascii="Times New Roman" w:hAnsi="Times New Roman" w:cs="Times New Roman"/>
          <w:sz w:val="24"/>
          <w:szCs w:val="24"/>
        </w:rPr>
        <w:t xml:space="preserve">  </w:t>
      </w:r>
      <w:r w:rsidR="00CA6420" w:rsidRPr="00956DFD">
        <w:rPr>
          <w:rFonts w:ascii="Times New Roman" w:hAnsi="Times New Roman" w:cs="Times New Roman"/>
          <w:sz w:val="24"/>
          <w:szCs w:val="24"/>
        </w:rPr>
        <w:t>I</w:t>
      </w:r>
      <w:r w:rsidR="003C7029" w:rsidRPr="00956DFD">
        <w:rPr>
          <w:rFonts w:ascii="Times New Roman" w:hAnsi="Times New Roman" w:cs="Times New Roman"/>
          <w:sz w:val="24"/>
          <w:szCs w:val="24"/>
        </w:rPr>
        <w:t xml:space="preserve"> sang in Korean while others </w:t>
      </w:r>
      <w:r w:rsidR="00AD17CF" w:rsidRPr="00956DFD">
        <w:rPr>
          <w:rFonts w:ascii="Times New Roman" w:hAnsi="Times New Roman" w:cs="Times New Roman"/>
          <w:sz w:val="24"/>
          <w:szCs w:val="24"/>
        </w:rPr>
        <w:t xml:space="preserve">might sing </w:t>
      </w:r>
      <w:r w:rsidR="003C7029" w:rsidRPr="00956DFD">
        <w:rPr>
          <w:rFonts w:ascii="Times New Roman" w:hAnsi="Times New Roman" w:cs="Times New Roman"/>
          <w:sz w:val="24"/>
          <w:szCs w:val="24"/>
        </w:rPr>
        <w:t xml:space="preserve">in English.  In addition, </w:t>
      </w:r>
      <w:r w:rsidR="00CA6420" w:rsidRPr="00956DFD">
        <w:rPr>
          <w:rFonts w:ascii="Times New Roman" w:hAnsi="Times New Roman" w:cs="Times New Roman"/>
          <w:sz w:val="24"/>
          <w:szCs w:val="24"/>
        </w:rPr>
        <w:t xml:space="preserve">Dr. Kelsey included </w:t>
      </w:r>
      <w:r w:rsidR="00DC4332" w:rsidRPr="00956DFD">
        <w:rPr>
          <w:rFonts w:ascii="Times New Roman" w:hAnsi="Times New Roman" w:cs="Times New Roman"/>
          <w:sz w:val="24"/>
          <w:szCs w:val="24"/>
        </w:rPr>
        <w:t xml:space="preserve">some words of Martin Luther King, Jr. </w:t>
      </w:r>
      <w:r w:rsidR="00CA6420" w:rsidRPr="00956DFD">
        <w:rPr>
          <w:rFonts w:ascii="Times New Roman" w:hAnsi="Times New Roman" w:cs="Times New Roman"/>
          <w:sz w:val="24"/>
          <w:szCs w:val="24"/>
        </w:rPr>
        <w:t xml:space="preserve">in the </w:t>
      </w:r>
      <w:r w:rsidR="00E163FD">
        <w:rPr>
          <w:rFonts w:ascii="Times New Roman" w:hAnsi="Times New Roman" w:cs="Times New Roman"/>
          <w:sz w:val="24"/>
          <w:szCs w:val="24"/>
        </w:rPr>
        <w:t>l</w:t>
      </w:r>
      <w:r w:rsidR="00CA6420" w:rsidRPr="00956DFD">
        <w:rPr>
          <w:rFonts w:ascii="Times New Roman" w:hAnsi="Times New Roman" w:cs="Times New Roman"/>
          <w:sz w:val="24"/>
          <w:szCs w:val="24"/>
        </w:rPr>
        <w:t>itany</w:t>
      </w:r>
      <w:r w:rsidR="00AD17CF" w:rsidRPr="00956DFD">
        <w:rPr>
          <w:rFonts w:ascii="Times New Roman" w:hAnsi="Times New Roman" w:cs="Times New Roman"/>
          <w:sz w:val="24"/>
          <w:szCs w:val="24"/>
        </w:rPr>
        <w:t>,</w:t>
      </w:r>
      <w:r w:rsidR="008F5882" w:rsidRPr="00956DFD">
        <w:rPr>
          <w:rFonts w:ascii="Times New Roman" w:hAnsi="Times New Roman" w:cs="Times New Roman"/>
          <w:sz w:val="24"/>
          <w:szCs w:val="24"/>
        </w:rPr>
        <w:t xml:space="preserve"> based on my sermon</w:t>
      </w:r>
      <w:r w:rsidR="00CA6420" w:rsidRPr="00956DFD">
        <w:rPr>
          <w:rFonts w:ascii="Times New Roman" w:hAnsi="Times New Roman" w:cs="Times New Roman"/>
          <w:sz w:val="24"/>
          <w:szCs w:val="24"/>
        </w:rPr>
        <w:t xml:space="preserve">.  </w:t>
      </w:r>
      <w:r w:rsidR="008F5882" w:rsidRPr="00956DFD">
        <w:rPr>
          <w:rFonts w:ascii="Times New Roman" w:hAnsi="Times New Roman" w:cs="Times New Roman"/>
          <w:sz w:val="24"/>
          <w:szCs w:val="24"/>
        </w:rPr>
        <w:t>I prepared it as the highlight in the service (in fact, one of the longest sermons I have preached (25 min.)) as Dr. Kelsey requested of me.  As you read, it is about the racial issue in our contemporary multicultural, “</w:t>
      </w:r>
      <w:proofErr w:type="spellStart"/>
      <w:r w:rsidR="008F5882" w:rsidRPr="00956DFD">
        <w:rPr>
          <w:rFonts w:ascii="Times New Roman" w:hAnsi="Times New Roman" w:cs="Times New Roman"/>
          <w:sz w:val="24"/>
          <w:szCs w:val="24"/>
        </w:rPr>
        <w:t>glocal</w:t>
      </w:r>
      <w:proofErr w:type="spellEnd"/>
      <w:r w:rsidR="008F5882" w:rsidRPr="00956DFD">
        <w:rPr>
          <w:rFonts w:ascii="Times New Roman" w:hAnsi="Times New Roman" w:cs="Times New Roman"/>
          <w:sz w:val="24"/>
          <w:szCs w:val="24"/>
        </w:rPr>
        <w:t xml:space="preserve">” </w:t>
      </w:r>
      <w:r w:rsidR="00E163FD">
        <w:rPr>
          <w:rFonts w:ascii="Times New Roman" w:hAnsi="Times New Roman" w:cs="Times New Roman"/>
          <w:sz w:val="24"/>
          <w:szCs w:val="24"/>
        </w:rPr>
        <w:t xml:space="preserve">(global + local) </w:t>
      </w:r>
      <w:r w:rsidR="008F5882" w:rsidRPr="00956DFD">
        <w:rPr>
          <w:rFonts w:ascii="Times New Roman" w:hAnsi="Times New Roman" w:cs="Times New Roman"/>
          <w:sz w:val="24"/>
          <w:szCs w:val="24"/>
        </w:rPr>
        <w:t xml:space="preserve">context, targeting the </w:t>
      </w:r>
      <w:proofErr w:type="spellStart"/>
      <w:r w:rsidR="008F5882" w:rsidRPr="00956DFD">
        <w:rPr>
          <w:rFonts w:ascii="Times New Roman" w:hAnsi="Times New Roman" w:cs="Times New Roman"/>
          <w:sz w:val="24"/>
          <w:szCs w:val="24"/>
        </w:rPr>
        <w:t>Iliff</w:t>
      </w:r>
      <w:proofErr w:type="spellEnd"/>
      <w:r w:rsidR="008F5882" w:rsidRPr="00956DFD">
        <w:rPr>
          <w:rFonts w:ascii="Times New Roman" w:hAnsi="Times New Roman" w:cs="Times New Roman"/>
          <w:sz w:val="24"/>
          <w:szCs w:val="24"/>
        </w:rPr>
        <w:t xml:space="preserve"> community which is sensitive to social justice issues.  </w:t>
      </w:r>
    </w:p>
    <w:p w:rsidR="009F4AD4" w:rsidRPr="00956DFD" w:rsidRDefault="0072412B" w:rsidP="00FB2658">
      <w:pPr>
        <w:pStyle w:val="ListParagraph"/>
        <w:spacing w:after="0" w:line="480" w:lineRule="auto"/>
        <w:ind w:left="0" w:firstLine="720"/>
        <w:rPr>
          <w:rFonts w:ascii="Times New Roman" w:hAnsi="Times New Roman" w:cs="Times New Roman"/>
          <w:b/>
          <w:sz w:val="24"/>
          <w:szCs w:val="24"/>
        </w:rPr>
      </w:pPr>
      <w:r w:rsidRPr="00956DFD">
        <w:rPr>
          <w:rFonts w:ascii="Times New Roman" w:hAnsi="Times New Roman" w:cs="Times New Roman"/>
          <w:sz w:val="24"/>
          <w:szCs w:val="24"/>
        </w:rPr>
        <w:t xml:space="preserve">In addition to the </w:t>
      </w:r>
      <w:r w:rsidR="00C41437">
        <w:rPr>
          <w:rFonts w:ascii="Times New Roman" w:hAnsi="Times New Roman" w:cs="Times New Roman"/>
          <w:sz w:val="24"/>
          <w:szCs w:val="24"/>
        </w:rPr>
        <w:t xml:space="preserve">liturgies and sermons, </w:t>
      </w:r>
      <w:r w:rsidRPr="00956DFD">
        <w:rPr>
          <w:rFonts w:ascii="Times New Roman" w:hAnsi="Times New Roman" w:cs="Times New Roman"/>
          <w:sz w:val="24"/>
          <w:szCs w:val="24"/>
        </w:rPr>
        <w:t>I posted two more resources—“Gathering Prayer” created in a Native American ritual style</w:t>
      </w:r>
      <w:r w:rsidR="00E163FD">
        <w:rPr>
          <w:rFonts w:ascii="Times New Roman" w:hAnsi="Times New Roman" w:cs="Times New Roman"/>
          <w:sz w:val="24"/>
          <w:szCs w:val="24"/>
        </w:rPr>
        <w:t>,</w:t>
      </w:r>
      <w:r w:rsidR="00EF2A65" w:rsidRPr="00956DFD">
        <w:rPr>
          <w:rFonts w:ascii="Times New Roman" w:hAnsi="Times New Roman" w:cs="Times New Roman"/>
          <w:sz w:val="24"/>
          <w:szCs w:val="24"/>
        </w:rPr>
        <w:t xml:space="preserve"> and “The Lord’s Prayer from New Zealand”</w:t>
      </w:r>
      <w:r w:rsidR="00C41437">
        <w:rPr>
          <w:rFonts w:ascii="Times New Roman" w:hAnsi="Times New Roman" w:cs="Times New Roman"/>
          <w:sz w:val="24"/>
          <w:szCs w:val="24"/>
        </w:rPr>
        <w:t>—in Canvas</w:t>
      </w:r>
      <w:r w:rsidR="00EF2A65" w:rsidRPr="00956DFD">
        <w:rPr>
          <w:rFonts w:ascii="Times New Roman" w:hAnsi="Times New Roman" w:cs="Times New Roman"/>
          <w:sz w:val="24"/>
          <w:szCs w:val="24"/>
        </w:rPr>
        <w:t>:</w:t>
      </w:r>
      <w:r w:rsidR="008F5882" w:rsidRPr="00956DFD">
        <w:rPr>
          <w:rFonts w:ascii="Times New Roman" w:hAnsi="Times New Roman" w:cs="Times New Roman"/>
          <w:sz w:val="24"/>
          <w:szCs w:val="24"/>
        </w:rPr>
        <w:t xml:space="preserve"> </w:t>
      </w:r>
      <w:r w:rsidR="003C7029" w:rsidRPr="00956DFD">
        <w:rPr>
          <w:rFonts w:ascii="Times New Roman" w:hAnsi="Times New Roman" w:cs="Times New Roman"/>
          <w:sz w:val="24"/>
          <w:szCs w:val="24"/>
        </w:rPr>
        <w:t xml:space="preserve">  </w:t>
      </w:r>
    </w:p>
    <w:p w:rsidR="00FB2658" w:rsidRPr="00956DFD" w:rsidRDefault="00FB2658" w:rsidP="0072412B">
      <w:pPr>
        <w:pStyle w:val="ListParagraph"/>
        <w:numPr>
          <w:ilvl w:val="0"/>
          <w:numId w:val="1"/>
        </w:numPr>
        <w:spacing w:after="0" w:line="480" w:lineRule="auto"/>
        <w:ind w:left="360"/>
        <w:rPr>
          <w:rFonts w:ascii="Times New Roman" w:hAnsi="Times New Roman" w:cs="Times New Roman"/>
          <w:sz w:val="24"/>
          <w:szCs w:val="24"/>
          <w:u w:val="single"/>
        </w:rPr>
      </w:pPr>
      <w:r w:rsidRPr="00956DFD">
        <w:rPr>
          <w:rFonts w:ascii="Times New Roman" w:hAnsi="Times New Roman" w:cs="Times New Roman"/>
          <w:sz w:val="24"/>
          <w:szCs w:val="24"/>
          <w:u w:val="single"/>
        </w:rPr>
        <w:t>“Gathering Prayer”:</w:t>
      </w:r>
    </w:p>
    <w:p w:rsidR="00EF2A65" w:rsidRPr="00956DFD" w:rsidRDefault="00FB2658" w:rsidP="00EF2A65">
      <w:pPr>
        <w:spacing w:after="0"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T</w:t>
      </w:r>
      <w:r w:rsidR="008F5882" w:rsidRPr="00956DFD">
        <w:rPr>
          <w:rFonts w:ascii="Times New Roman" w:hAnsi="Times New Roman" w:cs="Times New Roman"/>
          <w:sz w:val="24"/>
          <w:szCs w:val="24"/>
        </w:rPr>
        <w:t xml:space="preserve">he </w:t>
      </w:r>
      <w:r w:rsidR="009F4AD4" w:rsidRPr="00956DFD">
        <w:rPr>
          <w:rFonts w:ascii="Times New Roman" w:hAnsi="Times New Roman" w:cs="Times New Roman"/>
          <w:sz w:val="24"/>
          <w:szCs w:val="24"/>
        </w:rPr>
        <w:t>“Gathering Prayer</w:t>
      </w:r>
      <w:r w:rsidR="008F5882" w:rsidRPr="00956DFD">
        <w:rPr>
          <w:rFonts w:ascii="Times New Roman" w:hAnsi="Times New Roman" w:cs="Times New Roman"/>
          <w:sz w:val="24"/>
          <w:szCs w:val="24"/>
        </w:rPr>
        <w:t xml:space="preserve">,” written by the Native American minister, Dolly </w:t>
      </w:r>
      <w:proofErr w:type="spellStart"/>
      <w:r w:rsidR="008F5882" w:rsidRPr="00956DFD">
        <w:rPr>
          <w:rFonts w:ascii="Times New Roman" w:hAnsi="Times New Roman" w:cs="Times New Roman"/>
          <w:sz w:val="24"/>
          <w:szCs w:val="24"/>
        </w:rPr>
        <w:t>Sokol</w:t>
      </w:r>
      <w:proofErr w:type="spellEnd"/>
      <w:r w:rsidRPr="00956DFD">
        <w:rPr>
          <w:rFonts w:ascii="Times New Roman" w:hAnsi="Times New Roman" w:cs="Times New Roman"/>
          <w:sz w:val="24"/>
          <w:szCs w:val="24"/>
        </w:rPr>
        <w:t xml:space="preserve"> is </w:t>
      </w:r>
      <w:r w:rsidR="00EF2A65" w:rsidRPr="00956DFD">
        <w:rPr>
          <w:rFonts w:ascii="Times New Roman" w:hAnsi="Times New Roman" w:cs="Times New Roman"/>
          <w:sz w:val="24"/>
          <w:szCs w:val="24"/>
        </w:rPr>
        <w:t xml:space="preserve">an intercultural </w:t>
      </w:r>
      <w:r w:rsidRPr="00956DFD">
        <w:rPr>
          <w:rFonts w:ascii="Times New Roman" w:hAnsi="Times New Roman" w:cs="Times New Roman"/>
          <w:sz w:val="24"/>
          <w:szCs w:val="24"/>
        </w:rPr>
        <w:t>resource for multicultural worship</w:t>
      </w:r>
      <w:r w:rsidR="008F5882" w:rsidRPr="00956DFD">
        <w:rPr>
          <w:rFonts w:ascii="Times New Roman" w:hAnsi="Times New Roman" w:cs="Times New Roman"/>
          <w:sz w:val="24"/>
          <w:szCs w:val="24"/>
        </w:rPr>
        <w:t xml:space="preserve">.  </w:t>
      </w:r>
      <w:r w:rsidR="00EF2A65" w:rsidRPr="00956DFD">
        <w:rPr>
          <w:rFonts w:ascii="Times New Roman" w:hAnsi="Times New Roman" w:cs="Times New Roman"/>
          <w:sz w:val="24"/>
          <w:szCs w:val="24"/>
        </w:rPr>
        <w:t>W</w:t>
      </w:r>
      <w:r w:rsidR="00F13B72" w:rsidRPr="00956DFD">
        <w:rPr>
          <w:rFonts w:ascii="Times New Roman" w:hAnsi="Times New Roman" w:cs="Times New Roman"/>
          <w:sz w:val="24"/>
          <w:szCs w:val="24"/>
        </w:rPr>
        <w:t>hen I attended a worship service at the 2013 North American Academy of Liturgy Conference</w:t>
      </w:r>
      <w:r w:rsidR="00EF2A65" w:rsidRPr="00956DFD">
        <w:rPr>
          <w:rFonts w:ascii="Times New Roman" w:hAnsi="Times New Roman" w:cs="Times New Roman"/>
          <w:sz w:val="24"/>
          <w:szCs w:val="24"/>
        </w:rPr>
        <w:t>, this was the opening prayer for that service</w:t>
      </w:r>
      <w:r w:rsidR="00F13B72" w:rsidRPr="00956DFD">
        <w:rPr>
          <w:rFonts w:ascii="Times New Roman" w:hAnsi="Times New Roman" w:cs="Times New Roman"/>
          <w:sz w:val="24"/>
          <w:szCs w:val="24"/>
        </w:rPr>
        <w:t xml:space="preserve">.  The style and content of the prayer is based on </w:t>
      </w:r>
      <w:r w:rsidR="00EF2A65" w:rsidRPr="00956DFD">
        <w:rPr>
          <w:rFonts w:ascii="Times New Roman" w:hAnsi="Times New Roman" w:cs="Times New Roman"/>
          <w:sz w:val="24"/>
          <w:szCs w:val="24"/>
        </w:rPr>
        <w:t>a N</w:t>
      </w:r>
      <w:r w:rsidR="00F13B72" w:rsidRPr="00956DFD">
        <w:rPr>
          <w:rFonts w:ascii="Times New Roman" w:hAnsi="Times New Roman" w:cs="Times New Roman"/>
          <w:sz w:val="24"/>
          <w:szCs w:val="24"/>
        </w:rPr>
        <w:t>ative American religious practice</w:t>
      </w:r>
      <w:r w:rsidR="00EF2A65" w:rsidRPr="00956DFD">
        <w:rPr>
          <w:rFonts w:ascii="Times New Roman" w:hAnsi="Times New Roman" w:cs="Times New Roman"/>
          <w:sz w:val="24"/>
          <w:szCs w:val="24"/>
        </w:rPr>
        <w:t xml:space="preserve"> that </w:t>
      </w:r>
      <w:r w:rsidR="00F13B72" w:rsidRPr="00956DFD">
        <w:rPr>
          <w:rFonts w:ascii="Times New Roman" w:hAnsi="Times New Roman" w:cs="Times New Roman"/>
          <w:sz w:val="24"/>
          <w:szCs w:val="24"/>
        </w:rPr>
        <w:t>pray</w:t>
      </w:r>
      <w:r w:rsidR="00EF2A65" w:rsidRPr="00956DFD">
        <w:rPr>
          <w:rFonts w:ascii="Times New Roman" w:hAnsi="Times New Roman" w:cs="Times New Roman"/>
          <w:sz w:val="24"/>
          <w:szCs w:val="24"/>
        </w:rPr>
        <w:t>s</w:t>
      </w:r>
      <w:r w:rsidR="00F13B72" w:rsidRPr="00956DFD">
        <w:rPr>
          <w:rFonts w:ascii="Times New Roman" w:hAnsi="Times New Roman" w:cs="Times New Roman"/>
          <w:sz w:val="24"/>
          <w:szCs w:val="24"/>
        </w:rPr>
        <w:t xml:space="preserve"> toward the four directions</w:t>
      </w:r>
      <w:r w:rsidR="00EF2A65" w:rsidRPr="00956DFD">
        <w:rPr>
          <w:rFonts w:ascii="Times New Roman" w:hAnsi="Times New Roman" w:cs="Times New Roman"/>
          <w:sz w:val="24"/>
          <w:szCs w:val="24"/>
        </w:rPr>
        <w:t xml:space="preserve">.  </w:t>
      </w:r>
      <w:r w:rsidR="00F13B72" w:rsidRPr="00956DFD">
        <w:rPr>
          <w:rFonts w:ascii="Times New Roman" w:hAnsi="Times New Roman" w:cs="Times New Roman"/>
          <w:sz w:val="24"/>
          <w:szCs w:val="24"/>
        </w:rPr>
        <w:t xml:space="preserve">I think that this prayer is a good example for us to consider how </w:t>
      </w:r>
      <w:r w:rsidR="00F13B72" w:rsidRPr="00956DFD">
        <w:rPr>
          <w:rFonts w:ascii="Times New Roman" w:hAnsi="Times New Roman" w:cs="Times New Roman"/>
          <w:sz w:val="24"/>
          <w:szCs w:val="24"/>
        </w:rPr>
        <w:lastRenderedPageBreak/>
        <w:t xml:space="preserve">culturally and religiously different practices can </w:t>
      </w:r>
      <w:r w:rsidR="00EF2A65" w:rsidRPr="00956DFD">
        <w:rPr>
          <w:rFonts w:ascii="Times New Roman" w:hAnsi="Times New Roman" w:cs="Times New Roman"/>
          <w:sz w:val="24"/>
          <w:szCs w:val="24"/>
        </w:rPr>
        <w:t>b</w:t>
      </w:r>
      <w:r w:rsidR="00F13B72" w:rsidRPr="00956DFD">
        <w:rPr>
          <w:rFonts w:ascii="Times New Roman" w:hAnsi="Times New Roman" w:cs="Times New Roman"/>
          <w:sz w:val="24"/>
          <w:szCs w:val="24"/>
        </w:rPr>
        <w:t>e integrated into the Christian worship</w:t>
      </w:r>
      <w:r w:rsidR="00EF2A65" w:rsidRPr="00956DFD">
        <w:rPr>
          <w:rFonts w:ascii="Times New Roman" w:hAnsi="Times New Roman" w:cs="Times New Roman"/>
          <w:sz w:val="24"/>
          <w:szCs w:val="24"/>
        </w:rPr>
        <w:t xml:space="preserve"> </w:t>
      </w:r>
      <w:proofErr w:type="gramStart"/>
      <w:r w:rsidR="00EF2A65" w:rsidRPr="00956DFD">
        <w:rPr>
          <w:rFonts w:ascii="Times New Roman" w:hAnsi="Times New Roman" w:cs="Times New Roman"/>
          <w:sz w:val="24"/>
          <w:szCs w:val="24"/>
        </w:rPr>
        <w:t xml:space="preserve">through </w:t>
      </w:r>
      <w:r w:rsidR="00F13B72" w:rsidRPr="00956DFD">
        <w:rPr>
          <w:rFonts w:ascii="Times New Roman" w:hAnsi="Times New Roman" w:cs="Times New Roman"/>
          <w:sz w:val="24"/>
          <w:szCs w:val="24"/>
        </w:rPr>
        <w:t xml:space="preserve"> </w:t>
      </w:r>
      <w:r w:rsidR="00EF2A65" w:rsidRPr="00956DFD">
        <w:rPr>
          <w:rFonts w:ascii="Times New Roman" w:hAnsi="Times New Roman" w:cs="Times New Roman"/>
          <w:sz w:val="24"/>
          <w:szCs w:val="24"/>
        </w:rPr>
        <w:t>appropriate</w:t>
      </w:r>
      <w:proofErr w:type="gramEnd"/>
      <w:r w:rsidR="00EF2A65" w:rsidRPr="00956DFD">
        <w:rPr>
          <w:rFonts w:ascii="Times New Roman" w:hAnsi="Times New Roman" w:cs="Times New Roman"/>
          <w:sz w:val="24"/>
          <w:szCs w:val="24"/>
        </w:rPr>
        <w:t xml:space="preserve"> theological interpretations</w:t>
      </w:r>
      <w:r w:rsidR="00F13B72" w:rsidRPr="00956DFD">
        <w:rPr>
          <w:rFonts w:ascii="Times New Roman" w:hAnsi="Times New Roman" w:cs="Times New Roman"/>
          <w:sz w:val="24"/>
          <w:szCs w:val="24"/>
        </w:rPr>
        <w:t xml:space="preserve">.  </w:t>
      </w:r>
    </w:p>
    <w:p w:rsidR="004C2EBD" w:rsidRPr="00956DFD" w:rsidRDefault="00F13B72" w:rsidP="00280950">
      <w:pPr>
        <w:spacing w:after="0"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 xml:space="preserve">I </w:t>
      </w:r>
      <w:r w:rsidR="00EF2A65" w:rsidRPr="00956DFD">
        <w:rPr>
          <w:rFonts w:ascii="Times New Roman" w:hAnsi="Times New Roman" w:cs="Times New Roman"/>
          <w:sz w:val="24"/>
          <w:szCs w:val="24"/>
        </w:rPr>
        <w:t xml:space="preserve">asked two </w:t>
      </w:r>
      <w:r w:rsidRPr="00956DFD">
        <w:rPr>
          <w:rFonts w:ascii="Times New Roman" w:hAnsi="Times New Roman" w:cs="Times New Roman"/>
          <w:sz w:val="24"/>
          <w:szCs w:val="24"/>
        </w:rPr>
        <w:t>Native American</w:t>
      </w:r>
      <w:r w:rsidR="00EF2A65" w:rsidRPr="00956DFD">
        <w:rPr>
          <w:rFonts w:ascii="Times New Roman" w:hAnsi="Times New Roman" w:cs="Times New Roman"/>
          <w:sz w:val="24"/>
          <w:szCs w:val="24"/>
        </w:rPr>
        <w:t xml:space="preserve"> students at </w:t>
      </w:r>
      <w:proofErr w:type="spellStart"/>
      <w:r w:rsidR="00EF2A65" w:rsidRPr="00956DFD">
        <w:rPr>
          <w:rFonts w:ascii="Times New Roman" w:hAnsi="Times New Roman" w:cs="Times New Roman"/>
          <w:sz w:val="24"/>
          <w:szCs w:val="24"/>
        </w:rPr>
        <w:t>Iliff</w:t>
      </w:r>
      <w:proofErr w:type="spellEnd"/>
      <w:r w:rsidR="00EF2A65" w:rsidRPr="00956DFD">
        <w:rPr>
          <w:rFonts w:ascii="Times New Roman" w:hAnsi="Times New Roman" w:cs="Times New Roman"/>
          <w:sz w:val="24"/>
          <w:szCs w:val="24"/>
        </w:rPr>
        <w:t xml:space="preserve"> about what </w:t>
      </w:r>
      <w:r w:rsidRPr="00956DFD">
        <w:rPr>
          <w:rFonts w:ascii="Times New Roman" w:hAnsi="Times New Roman" w:cs="Times New Roman"/>
          <w:sz w:val="24"/>
          <w:szCs w:val="24"/>
        </w:rPr>
        <w:t>they th</w:t>
      </w:r>
      <w:r w:rsidR="009A41DD" w:rsidRPr="00956DFD">
        <w:rPr>
          <w:rFonts w:ascii="Times New Roman" w:hAnsi="Times New Roman" w:cs="Times New Roman"/>
          <w:sz w:val="24"/>
          <w:szCs w:val="24"/>
        </w:rPr>
        <w:t xml:space="preserve">ought </w:t>
      </w:r>
      <w:r w:rsidRPr="00956DFD">
        <w:rPr>
          <w:rFonts w:ascii="Times New Roman" w:hAnsi="Times New Roman" w:cs="Times New Roman"/>
          <w:sz w:val="24"/>
          <w:szCs w:val="24"/>
        </w:rPr>
        <w:t xml:space="preserve">about </w:t>
      </w:r>
      <w:r w:rsidR="00EF2A65" w:rsidRPr="00956DFD">
        <w:rPr>
          <w:rFonts w:ascii="Times New Roman" w:hAnsi="Times New Roman" w:cs="Times New Roman"/>
          <w:sz w:val="24"/>
          <w:szCs w:val="24"/>
        </w:rPr>
        <w:t xml:space="preserve">using the Native American style of the four-directional prayer in Christian worship.   </w:t>
      </w:r>
      <w:r w:rsidR="009A41DD" w:rsidRPr="00956DFD">
        <w:rPr>
          <w:rFonts w:ascii="Times New Roman" w:hAnsi="Times New Roman" w:cs="Times New Roman"/>
          <w:sz w:val="24"/>
          <w:szCs w:val="24"/>
        </w:rPr>
        <w:t xml:space="preserve">One of them said that he </w:t>
      </w:r>
      <w:r w:rsidRPr="00956DFD">
        <w:rPr>
          <w:rFonts w:ascii="Times New Roman" w:hAnsi="Times New Roman" w:cs="Times New Roman"/>
          <w:sz w:val="24"/>
          <w:szCs w:val="24"/>
        </w:rPr>
        <w:t>was not happy about that because Christians st</w:t>
      </w:r>
      <w:r w:rsidR="009A41DD" w:rsidRPr="00956DFD">
        <w:rPr>
          <w:rFonts w:ascii="Times New Roman" w:hAnsi="Times New Roman" w:cs="Times New Roman"/>
          <w:sz w:val="24"/>
          <w:szCs w:val="24"/>
        </w:rPr>
        <w:t>ole</w:t>
      </w:r>
      <w:r w:rsidRPr="00956DFD">
        <w:rPr>
          <w:rFonts w:ascii="Times New Roman" w:hAnsi="Times New Roman" w:cs="Times New Roman"/>
          <w:sz w:val="24"/>
          <w:szCs w:val="24"/>
        </w:rPr>
        <w:t xml:space="preserve"> rituals as well as the land from the Native Americans.  </w:t>
      </w:r>
      <w:r w:rsidR="009A41DD" w:rsidRPr="00956DFD">
        <w:rPr>
          <w:rFonts w:ascii="Times New Roman" w:hAnsi="Times New Roman" w:cs="Times New Roman"/>
          <w:sz w:val="24"/>
          <w:szCs w:val="24"/>
        </w:rPr>
        <w:t xml:space="preserve">But, the </w:t>
      </w:r>
      <w:r w:rsidRPr="00956DFD">
        <w:rPr>
          <w:rFonts w:ascii="Times New Roman" w:hAnsi="Times New Roman" w:cs="Times New Roman"/>
          <w:sz w:val="24"/>
          <w:szCs w:val="24"/>
        </w:rPr>
        <w:t xml:space="preserve">other </w:t>
      </w:r>
      <w:r w:rsidR="009A41DD" w:rsidRPr="00956DFD">
        <w:rPr>
          <w:rFonts w:ascii="Times New Roman" w:hAnsi="Times New Roman" w:cs="Times New Roman"/>
          <w:sz w:val="24"/>
          <w:szCs w:val="24"/>
        </w:rPr>
        <w:t xml:space="preserve">student </w:t>
      </w:r>
      <w:r w:rsidR="004C2EBD" w:rsidRPr="00956DFD">
        <w:rPr>
          <w:rFonts w:ascii="Times New Roman" w:hAnsi="Times New Roman" w:cs="Times New Roman"/>
          <w:sz w:val="24"/>
          <w:szCs w:val="24"/>
        </w:rPr>
        <w:t xml:space="preserve">said that </w:t>
      </w:r>
      <w:r w:rsidR="009A41DD" w:rsidRPr="00956DFD">
        <w:rPr>
          <w:rFonts w:ascii="Times New Roman" w:hAnsi="Times New Roman" w:cs="Times New Roman"/>
          <w:sz w:val="24"/>
          <w:szCs w:val="24"/>
        </w:rPr>
        <w:t>it was very nice that the Native American style of prayer was used by</w:t>
      </w:r>
      <w:r w:rsidR="00AD17CF" w:rsidRPr="00956DFD">
        <w:rPr>
          <w:rFonts w:ascii="Times New Roman" w:hAnsi="Times New Roman" w:cs="Times New Roman"/>
          <w:sz w:val="24"/>
          <w:szCs w:val="24"/>
        </w:rPr>
        <w:t xml:space="preserve"> people of</w:t>
      </w:r>
      <w:r w:rsidR="009A41DD" w:rsidRPr="00956DFD">
        <w:rPr>
          <w:rFonts w:ascii="Times New Roman" w:hAnsi="Times New Roman" w:cs="Times New Roman"/>
          <w:sz w:val="24"/>
          <w:szCs w:val="24"/>
        </w:rPr>
        <w:t xml:space="preserve"> d</w:t>
      </w:r>
      <w:r w:rsidR="004C2EBD" w:rsidRPr="00956DFD">
        <w:rPr>
          <w:rFonts w:ascii="Times New Roman" w:hAnsi="Times New Roman" w:cs="Times New Roman"/>
          <w:sz w:val="24"/>
          <w:szCs w:val="24"/>
        </w:rPr>
        <w:t>ifferent rac</w:t>
      </w:r>
      <w:r w:rsidR="00AD17CF" w:rsidRPr="00956DFD">
        <w:rPr>
          <w:rFonts w:ascii="Times New Roman" w:hAnsi="Times New Roman" w:cs="Times New Roman"/>
          <w:sz w:val="24"/>
          <w:szCs w:val="24"/>
        </w:rPr>
        <w:t>es and ethnicities</w:t>
      </w:r>
      <w:r w:rsidR="004C2EBD" w:rsidRPr="00956DFD">
        <w:rPr>
          <w:rFonts w:ascii="Times New Roman" w:hAnsi="Times New Roman" w:cs="Times New Roman"/>
          <w:sz w:val="24"/>
          <w:szCs w:val="24"/>
        </w:rPr>
        <w:t xml:space="preserve"> and </w:t>
      </w:r>
      <w:r w:rsidR="009A41DD" w:rsidRPr="00956DFD">
        <w:rPr>
          <w:rFonts w:ascii="Times New Roman" w:hAnsi="Times New Roman" w:cs="Times New Roman"/>
          <w:sz w:val="24"/>
          <w:szCs w:val="24"/>
        </w:rPr>
        <w:t xml:space="preserve">could help </w:t>
      </w:r>
      <w:r w:rsidR="004C2EBD" w:rsidRPr="00956DFD">
        <w:rPr>
          <w:rFonts w:ascii="Times New Roman" w:hAnsi="Times New Roman" w:cs="Times New Roman"/>
          <w:sz w:val="24"/>
          <w:szCs w:val="24"/>
        </w:rPr>
        <w:t xml:space="preserve">them </w:t>
      </w:r>
      <w:r w:rsidR="009A41DD" w:rsidRPr="00956DFD">
        <w:rPr>
          <w:rFonts w:ascii="Times New Roman" w:hAnsi="Times New Roman" w:cs="Times New Roman"/>
          <w:sz w:val="24"/>
          <w:szCs w:val="24"/>
        </w:rPr>
        <w:t>pray in a more meaningful way</w:t>
      </w:r>
      <w:r w:rsidR="004C2EBD" w:rsidRPr="00956DFD">
        <w:rPr>
          <w:rFonts w:ascii="Times New Roman" w:hAnsi="Times New Roman" w:cs="Times New Roman"/>
          <w:sz w:val="24"/>
          <w:szCs w:val="24"/>
        </w:rPr>
        <w:t xml:space="preserve">.  In my opinion, it is important to let people </w:t>
      </w:r>
      <w:r w:rsidR="009A41DD" w:rsidRPr="00956DFD">
        <w:rPr>
          <w:rFonts w:ascii="Times New Roman" w:hAnsi="Times New Roman" w:cs="Times New Roman"/>
          <w:sz w:val="24"/>
          <w:szCs w:val="24"/>
        </w:rPr>
        <w:t xml:space="preserve">learn </w:t>
      </w:r>
      <w:r w:rsidR="004C2EBD" w:rsidRPr="00956DFD">
        <w:rPr>
          <w:rFonts w:ascii="Times New Roman" w:hAnsi="Times New Roman" w:cs="Times New Roman"/>
          <w:sz w:val="24"/>
          <w:szCs w:val="24"/>
        </w:rPr>
        <w:t xml:space="preserve">about Native American spiritual practices deeply rooted in nature and </w:t>
      </w:r>
      <w:r w:rsidR="009A41DD" w:rsidRPr="00956DFD">
        <w:rPr>
          <w:rFonts w:ascii="Times New Roman" w:hAnsi="Times New Roman" w:cs="Times New Roman"/>
          <w:sz w:val="24"/>
          <w:szCs w:val="24"/>
        </w:rPr>
        <w:t xml:space="preserve">adapt their way of prayer with respect through appropriate theological interpretation.  </w:t>
      </w:r>
      <w:r w:rsidR="004C2EBD" w:rsidRPr="00956DFD">
        <w:rPr>
          <w:rFonts w:ascii="Times New Roman" w:hAnsi="Times New Roman" w:cs="Times New Roman"/>
          <w:sz w:val="24"/>
          <w:szCs w:val="24"/>
        </w:rPr>
        <w:t xml:space="preserve">By </w:t>
      </w:r>
      <w:r w:rsidR="009A41DD" w:rsidRPr="00956DFD">
        <w:rPr>
          <w:rFonts w:ascii="Times New Roman" w:hAnsi="Times New Roman" w:cs="Times New Roman"/>
          <w:sz w:val="24"/>
          <w:szCs w:val="24"/>
        </w:rPr>
        <w:t>praying in their way</w:t>
      </w:r>
      <w:r w:rsidR="00280950" w:rsidRPr="00956DFD">
        <w:rPr>
          <w:rFonts w:ascii="Times New Roman" w:hAnsi="Times New Roman" w:cs="Times New Roman"/>
          <w:sz w:val="24"/>
          <w:szCs w:val="24"/>
        </w:rPr>
        <w:t xml:space="preserve"> with full knowledge about that practice</w:t>
      </w:r>
      <w:r w:rsidR="009A41DD" w:rsidRPr="00956DFD">
        <w:rPr>
          <w:rFonts w:ascii="Times New Roman" w:hAnsi="Times New Roman" w:cs="Times New Roman"/>
          <w:sz w:val="24"/>
          <w:szCs w:val="24"/>
        </w:rPr>
        <w:t xml:space="preserve">, </w:t>
      </w:r>
      <w:r w:rsidR="004C2EBD" w:rsidRPr="00956DFD">
        <w:rPr>
          <w:rFonts w:ascii="Times New Roman" w:hAnsi="Times New Roman" w:cs="Times New Roman"/>
          <w:sz w:val="24"/>
          <w:szCs w:val="24"/>
        </w:rPr>
        <w:t xml:space="preserve">we </w:t>
      </w:r>
      <w:r w:rsidR="009A41DD" w:rsidRPr="00956DFD">
        <w:rPr>
          <w:rFonts w:ascii="Times New Roman" w:hAnsi="Times New Roman" w:cs="Times New Roman"/>
          <w:sz w:val="24"/>
          <w:szCs w:val="24"/>
        </w:rPr>
        <w:t xml:space="preserve">can </w:t>
      </w:r>
      <w:r w:rsidR="004C2EBD" w:rsidRPr="00956DFD">
        <w:rPr>
          <w:rFonts w:ascii="Times New Roman" w:hAnsi="Times New Roman" w:cs="Times New Roman"/>
          <w:sz w:val="24"/>
          <w:szCs w:val="24"/>
        </w:rPr>
        <w:t xml:space="preserve">better understand not only their cultural and </w:t>
      </w:r>
      <w:r w:rsidR="00280950" w:rsidRPr="00956DFD">
        <w:rPr>
          <w:rFonts w:ascii="Times New Roman" w:hAnsi="Times New Roman" w:cs="Times New Roman"/>
          <w:sz w:val="24"/>
          <w:szCs w:val="24"/>
        </w:rPr>
        <w:t xml:space="preserve">spiritual practice </w:t>
      </w:r>
      <w:r w:rsidR="004C2EBD" w:rsidRPr="00956DFD">
        <w:rPr>
          <w:rFonts w:ascii="Times New Roman" w:hAnsi="Times New Roman" w:cs="Times New Roman"/>
          <w:sz w:val="24"/>
          <w:szCs w:val="24"/>
        </w:rPr>
        <w:t xml:space="preserve">but also their </w:t>
      </w:r>
      <w:r w:rsidR="00280950" w:rsidRPr="00956DFD">
        <w:rPr>
          <w:rFonts w:ascii="Times New Roman" w:hAnsi="Times New Roman" w:cs="Times New Roman"/>
          <w:sz w:val="24"/>
          <w:szCs w:val="24"/>
        </w:rPr>
        <w:t xml:space="preserve">unjust </w:t>
      </w:r>
      <w:r w:rsidR="004C2EBD" w:rsidRPr="00956DFD">
        <w:rPr>
          <w:rFonts w:ascii="Times New Roman" w:hAnsi="Times New Roman" w:cs="Times New Roman"/>
          <w:sz w:val="24"/>
          <w:szCs w:val="24"/>
        </w:rPr>
        <w:t xml:space="preserve">situation </w:t>
      </w:r>
      <w:r w:rsidR="00280950" w:rsidRPr="00956DFD">
        <w:rPr>
          <w:rFonts w:ascii="Times New Roman" w:hAnsi="Times New Roman" w:cs="Times New Roman"/>
          <w:sz w:val="24"/>
          <w:szCs w:val="24"/>
        </w:rPr>
        <w:t>in our society</w:t>
      </w:r>
      <w:r w:rsidR="004C2EBD" w:rsidRPr="00956DFD">
        <w:rPr>
          <w:rFonts w:ascii="Times New Roman" w:hAnsi="Times New Roman" w:cs="Times New Roman"/>
          <w:sz w:val="24"/>
          <w:szCs w:val="24"/>
        </w:rPr>
        <w:t xml:space="preserve">.  Through praying in their </w:t>
      </w:r>
      <w:r w:rsidR="00280950" w:rsidRPr="00956DFD">
        <w:rPr>
          <w:rFonts w:ascii="Times New Roman" w:hAnsi="Times New Roman" w:cs="Times New Roman"/>
          <w:sz w:val="24"/>
          <w:szCs w:val="24"/>
        </w:rPr>
        <w:t>way</w:t>
      </w:r>
      <w:r w:rsidR="004C2EBD" w:rsidRPr="00956DFD">
        <w:rPr>
          <w:rFonts w:ascii="Times New Roman" w:hAnsi="Times New Roman" w:cs="Times New Roman"/>
          <w:sz w:val="24"/>
          <w:szCs w:val="24"/>
        </w:rPr>
        <w:t xml:space="preserve">, we also need to pray for bringing justice to them.  </w:t>
      </w:r>
    </w:p>
    <w:p w:rsidR="00FB2658" w:rsidRPr="00956DFD" w:rsidRDefault="00845B74" w:rsidP="00280950">
      <w:pPr>
        <w:spacing w:after="0"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 xml:space="preserve">One of the concerns with </w:t>
      </w:r>
      <w:r w:rsidR="004C2EBD" w:rsidRPr="00956DFD">
        <w:rPr>
          <w:rFonts w:ascii="Times New Roman" w:hAnsi="Times New Roman" w:cs="Times New Roman"/>
          <w:sz w:val="24"/>
          <w:szCs w:val="24"/>
        </w:rPr>
        <w:t xml:space="preserve">this prayer is that some Christians who have </w:t>
      </w:r>
      <w:r w:rsidR="00973220" w:rsidRPr="00956DFD">
        <w:rPr>
          <w:rFonts w:ascii="Times New Roman" w:hAnsi="Times New Roman" w:cs="Times New Roman"/>
          <w:sz w:val="24"/>
          <w:szCs w:val="24"/>
        </w:rPr>
        <w:t xml:space="preserve">exclusively </w:t>
      </w:r>
      <w:r w:rsidR="004C2EBD" w:rsidRPr="00956DFD">
        <w:rPr>
          <w:rFonts w:ascii="Times New Roman" w:hAnsi="Times New Roman" w:cs="Times New Roman"/>
          <w:sz w:val="24"/>
          <w:szCs w:val="24"/>
        </w:rPr>
        <w:t xml:space="preserve">been raised </w:t>
      </w:r>
      <w:r w:rsidR="00AD17CF" w:rsidRPr="00956DFD">
        <w:rPr>
          <w:rFonts w:ascii="Times New Roman" w:hAnsi="Times New Roman" w:cs="Times New Roman"/>
          <w:sz w:val="24"/>
          <w:szCs w:val="24"/>
        </w:rPr>
        <w:t>in</w:t>
      </w:r>
      <w:r w:rsidR="00973220" w:rsidRPr="00956DFD">
        <w:rPr>
          <w:rFonts w:ascii="Times New Roman" w:hAnsi="Times New Roman" w:cs="Times New Roman"/>
          <w:sz w:val="24"/>
          <w:szCs w:val="24"/>
        </w:rPr>
        <w:t xml:space="preserve"> the</w:t>
      </w:r>
      <w:r w:rsidR="004C2EBD" w:rsidRPr="00956DFD">
        <w:rPr>
          <w:rFonts w:ascii="Times New Roman" w:hAnsi="Times New Roman" w:cs="Times New Roman"/>
          <w:sz w:val="24"/>
          <w:szCs w:val="24"/>
        </w:rPr>
        <w:t xml:space="preserve"> Judaic</w:t>
      </w:r>
      <w:r w:rsidR="00973220" w:rsidRPr="00956DFD">
        <w:rPr>
          <w:rFonts w:ascii="Times New Roman" w:hAnsi="Times New Roman" w:cs="Times New Roman"/>
          <w:sz w:val="24"/>
          <w:szCs w:val="24"/>
        </w:rPr>
        <w:t>-Christian worldview</w:t>
      </w:r>
      <w:r w:rsidR="006E0608" w:rsidRPr="00956DFD">
        <w:rPr>
          <w:rFonts w:ascii="Times New Roman" w:hAnsi="Times New Roman" w:cs="Times New Roman"/>
          <w:sz w:val="24"/>
          <w:szCs w:val="24"/>
        </w:rPr>
        <w:t xml:space="preserve"> might not feel comfortable with the terms, </w:t>
      </w:r>
      <w:r w:rsidR="004C2EBD" w:rsidRPr="00956DFD">
        <w:rPr>
          <w:rFonts w:ascii="Times New Roman" w:hAnsi="Times New Roman" w:cs="Times New Roman"/>
          <w:sz w:val="24"/>
          <w:szCs w:val="24"/>
        </w:rPr>
        <w:t>“ou</w:t>
      </w:r>
      <w:r w:rsidR="006E0608" w:rsidRPr="00956DFD">
        <w:rPr>
          <w:rFonts w:ascii="Times New Roman" w:hAnsi="Times New Roman" w:cs="Times New Roman"/>
          <w:sz w:val="24"/>
          <w:szCs w:val="24"/>
        </w:rPr>
        <w:t>r M</w:t>
      </w:r>
      <w:r w:rsidR="004C2EBD" w:rsidRPr="00956DFD">
        <w:rPr>
          <w:rFonts w:ascii="Times New Roman" w:hAnsi="Times New Roman" w:cs="Times New Roman"/>
          <w:sz w:val="24"/>
          <w:szCs w:val="24"/>
        </w:rPr>
        <w:t xml:space="preserve">other </w:t>
      </w:r>
      <w:r w:rsidR="006E0608" w:rsidRPr="00956DFD">
        <w:rPr>
          <w:rFonts w:ascii="Times New Roman" w:hAnsi="Times New Roman" w:cs="Times New Roman"/>
          <w:sz w:val="24"/>
          <w:szCs w:val="24"/>
        </w:rPr>
        <w:t>E</w:t>
      </w:r>
      <w:r w:rsidR="004C2EBD" w:rsidRPr="00956DFD">
        <w:rPr>
          <w:rFonts w:ascii="Times New Roman" w:hAnsi="Times New Roman" w:cs="Times New Roman"/>
          <w:sz w:val="24"/>
          <w:szCs w:val="24"/>
        </w:rPr>
        <w:t xml:space="preserve">arth, our </w:t>
      </w:r>
      <w:r w:rsidR="006E0608" w:rsidRPr="00956DFD">
        <w:rPr>
          <w:rFonts w:ascii="Times New Roman" w:hAnsi="Times New Roman" w:cs="Times New Roman"/>
          <w:sz w:val="24"/>
          <w:szCs w:val="24"/>
        </w:rPr>
        <w:t>F</w:t>
      </w:r>
      <w:r w:rsidR="004C2EBD" w:rsidRPr="00956DFD">
        <w:rPr>
          <w:rFonts w:ascii="Times New Roman" w:hAnsi="Times New Roman" w:cs="Times New Roman"/>
          <w:sz w:val="24"/>
          <w:szCs w:val="24"/>
        </w:rPr>
        <w:t xml:space="preserve">ather </w:t>
      </w:r>
      <w:r w:rsidR="006E0608" w:rsidRPr="00956DFD">
        <w:rPr>
          <w:rFonts w:ascii="Times New Roman" w:hAnsi="Times New Roman" w:cs="Times New Roman"/>
          <w:sz w:val="24"/>
          <w:szCs w:val="24"/>
        </w:rPr>
        <w:t>S</w:t>
      </w:r>
      <w:r w:rsidR="004C2EBD" w:rsidRPr="00956DFD">
        <w:rPr>
          <w:rFonts w:ascii="Times New Roman" w:hAnsi="Times New Roman" w:cs="Times New Roman"/>
          <w:sz w:val="24"/>
          <w:szCs w:val="24"/>
        </w:rPr>
        <w:t>ky</w:t>
      </w:r>
      <w:r w:rsidR="006E0608" w:rsidRPr="00956DFD">
        <w:rPr>
          <w:rFonts w:ascii="Times New Roman" w:hAnsi="Times New Roman" w:cs="Times New Roman"/>
          <w:sz w:val="24"/>
          <w:szCs w:val="24"/>
        </w:rPr>
        <w:t>.</w:t>
      </w:r>
      <w:r w:rsidR="004C2EBD" w:rsidRPr="00956DFD">
        <w:rPr>
          <w:rFonts w:ascii="Times New Roman" w:hAnsi="Times New Roman" w:cs="Times New Roman"/>
          <w:sz w:val="24"/>
          <w:szCs w:val="24"/>
        </w:rPr>
        <w:t>”</w:t>
      </w:r>
      <w:r w:rsidR="00280950" w:rsidRPr="00956DFD">
        <w:rPr>
          <w:rFonts w:ascii="Times New Roman" w:hAnsi="Times New Roman" w:cs="Times New Roman"/>
          <w:sz w:val="24"/>
          <w:szCs w:val="24"/>
        </w:rPr>
        <w:t xml:space="preserve">  These terms reveal</w:t>
      </w:r>
      <w:r w:rsidR="006E0608" w:rsidRPr="00956DFD">
        <w:rPr>
          <w:rFonts w:ascii="Times New Roman" w:hAnsi="Times New Roman" w:cs="Times New Roman"/>
          <w:sz w:val="24"/>
          <w:szCs w:val="24"/>
        </w:rPr>
        <w:t xml:space="preserve"> the Native American worldview </w:t>
      </w:r>
      <w:r w:rsidR="00973220" w:rsidRPr="00956DFD">
        <w:rPr>
          <w:rFonts w:ascii="Times New Roman" w:hAnsi="Times New Roman" w:cs="Times New Roman"/>
          <w:sz w:val="24"/>
          <w:szCs w:val="24"/>
        </w:rPr>
        <w:t xml:space="preserve">of the interconnectedness </w:t>
      </w:r>
      <w:r w:rsidR="00280950" w:rsidRPr="00956DFD">
        <w:rPr>
          <w:rFonts w:ascii="Times New Roman" w:hAnsi="Times New Roman" w:cs="Times New Roman"/>
          <w:sz w:val="24"/>
          <w:szCs w:val="24"/>
        </w:rPr>
        <w:t xml:space="preserve">between humanity and </w:t>
      </w:r>
      <w:r w:rsidR="00973220" w:rsidRPr="00956DFD">
        <w:rPr>
          <w:rFonts w:ascii="Times New Roman" w:hAnsi="Times New Roman" w:cs="Times New Roman"/>
          <w:sz w:val="24"/>
          <w:szCs w:val="24"/>
        </w:rPr>
        <w:t xml:space="preserve">nature.  Worship leaders need to consider </w:t>
      </w:r>
      <w:r w:rsidR="00AD17CF" w:rsidRPr="00956DFD">
        <w:rPr>
          <w:rFonts w:ascii="Times New Roman" w:hAnsi="Times New Roman" w:cs="Times New Roman"/>
          <w:sz w:val="24"/>
          <w:szCs w:val="24"/>
        </w:rPr>
        <w:t>the</w:t>
      </w:r>
      <w:r w:rsidR="00280950" w:rsidRPr="00956DFD">
        <w:rPr>
          <w:rFonts w:ascii="Times New Roman" w:hAnsi="Times New Roman" w:cs="Times New Roman"/>
          <w:sz w:val="24"/>
          <w:szCs w:val="24"/>
        </w:rPr>
        <w:t xml:space="preserve"> variety of </w:t>
      </w:r>
      <w:r w:rsidR="00973220" w:rsidRPr="00956DFD">
        <w:rPr>
          <w:rFonts w:ascii="Times New Roman" w:hAnsi="Times New Roman" w:cs="Times New Roman"/>
          <w:sz w:val="24"/>
          <w:szCs w:val="24"/>
        </w:rPr>
        <w:t xml:space="preserve">possible reactions of their worshipers to these terms before using this prayer and </w:t>
      </w:r>
      <w:r w:rsidR="00280950" w:rsidRPr="00956DFD">
        <w:rPr>
          <w:rFonts w:ascii="Times New Roman" w:hAnsi="Times New Roman" w:cs="Times New Roman"/>
          <w:sz w:val="24"/>
          <w:szCs w:val="24"/>
        </w:rPr>
        <w:t xml:space="preserve">may need to </w:t>
      </w:r>
      <w:r w:rsidR="00973220" w:rsidRPr="00956DFD">
        <w:rPr>
          <w:rFonts w:ascii="Times New Roman" w:hAnsi="Times New Roman" w:cs="Times New Roman"/>
          <w:sz w:val="24"/>
          <w:szCs w:val="24"/>
        </w:rPr>
        <w:t>either modify these words or offer some cultural education to the</w:t>
      </w:r>
      <w:r w:rsidR="00280950" w:rsidRPr="00956DFD">
        <w:rPr>
          <w:rFonts w:ascii="Times New Roman" w:hAnsi="Times New Roman" w:cs="Times New Roman"/>
          <w:sz w:val="24"/>
          <w:szCs w:val="24"/>
        </w:rPr>
        <w:t xml:space="preserve"> worshiper</w:t>
      </w:r>
      <w:r w:rsidR="00AD17CF" w:rsidRPr="00956DFD">
        <w:rPr>
          <w:rFonts w:ascii="Times New Roman" w:hAnsi="Times New Roman" w:cs="Times New Roman"/>
          <w:sz w:val="24"/>
          <w:szCs w:val="24"/>
        </w:rPr>
        <w:t>s</w:t>
      </w:r>
      <w:r w:rsidR="00280950" w:rsidRPr="00956DFD">
        <w:rPr>
          <w:rFonts w:ascii="Times New Roman" w:hAnsi="Times New Roman" w:cs="Times New Roman"/>
          <w:sz w:val="24"/>
          <w:szCs w:val="24"/>
        </w:rPr>
        <w:t xml:space="preserve"> before the use of the prayer</w:t>
      </w:r>
      <w:r w:rsidR="00973220" w:rsidRPr="00956DFD">
        <w:rPr>
          <w:rFonts w:ascii="Times New Roman" w:hAnsi="Times New Roman" w:cs="Times New Roman"/>
          <w:sz w:val="24"/>
          <w:szCs w:val="24"/>
        </w:rPr>
        <w:t xml:space="preserve">.  </w:t>
      </w:r>
    </w:p>
    <w:p w:rsidR="00FB2658" w:rsidRPr="00956DFD" w:rsidRDefault="00FB2658" w:rsidP="00FB2658">
      <w:pPr>
        <w:pStyle w:val="ListParagraph"/>
        <w:numPr>
          <w:ilvl w:val="0"/>
          <w:numId w:val="1"/>
        </w:numPr>
        <w:spacing w:after="0" w:line="480" w:lineRule="auto"/>
        <w:ind w:left="360"/>
        <w:rPr>
          <w:rFonts w:ascii="Times New Roman" w:hAnsi="Times New Roman" w:cs="Times New Roman"/>
          <w:sz w:val="24"/>
          <w:szCs w:val="24"/>
          <w:u w:val="single"/>
        </w:rPr>
      </w:pPr>
      <w:r w:rsidRPr="00956DFD">
        <w:rPr>
          <w:rFonts w:ascii="Times New Roman" w:hAnsi="Times New Roman" w:cs="Times New Roman"/>
          <w:sz w:val="24"/>
          <w:szCs w:val="24"/>
          <w:u w:val="single"/>
        </w:rPr>
        <w:t>The Lord’s Prayer from New Zealand:</w:t>
      </w:r>
    </w:p>
    <w:p w:rsidR="009C11F7" w:rsidRPr="00956DFD" w:rsidRDefault="00280950" w:rsidP="00711E5E">
      <w:pPr>
        <w:spacing w:after="0"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T</w:t>
      </w:r>
      <w:r w:rsidR="00845B74" w:rsidRPr="00956DFD">
        <w:rPr>
          <w:rFonts w:ascii="Times New Roman" w:hAnsi="Times New Roman" w:cs="Times New Roman"/>
          <w:sz w:val="24"/>
          <w:szCs w:val="24"/>
        </w:rPr>
        <w:t>he Lord’s Prayer from New Zealand</w:t>
      </w:r>
      <w:r w:rsidRPr="00956DFD">
        <w:rPr>
          <w:rFonts w:ascii="Times New Roman" w:hAnsi="Times New Roman" w:cs="Times New Roman"/>
          <w:sz w:val="24"/>
          <w:szCs w:val="24"/>
        </w:rPr>
        <w:t xml:space="preserve"> is another example of the influence of a different religious and cultural worldview on </w:t>
      </w:r>
      <w:r w:rsidR="00AD17CF" w:rsidRPr="00956DFD">
        <w:rPr>
          <w:rFonts w:ascii="Times New Roman" w:hAnsi="Times New Roman" w:cs="Times New Roman"/>
          <w:sz w:val="24"/>
          <w:szCs w:val="24"/>
        </w:rPr>
        <w:t xml:space="preserve">the </w:t>
      </w:r>
      <w:r w:rsidRPr="00956DFD">
        <w:rPr>
          <w:rFonts w:ascii="Times New Roman" w:hAnsi="Times New Roman" w:cs="Times New Roman"/>
          <w:sz w:val="24"/>
          <w:szCs w:val="24"/>
        </w:rPr>
        <w:t>Christian practice of prayer</w:t>
      </w:r>
      <w:r w:rsidR="00845B74" w:rsidRPr="00956DFD">
        <w:rPr>
          <w:rFonts w:ascii="Times New Roman" w:hAnsi="Times New Roman" w:cs="Times New Roman"/>
          <w:sz w:val="24"/>
          <w:szCs w:val="24"/>
        </w:rPr>
        <w:t xml:space="preserve">.  It is included in </w:t>
      </w:r>
      <w:r w:rsidR="00845B74" w:rsidRPr="00956DFD">
        <w:rPr>
          <w:rFonts w:ascii="Times New Roman" w:hAnsi="Times New Roman" w:cs="Times New Roman"/>
          <w:i/>
          <w:sz w:val="24"/>
          <w:szCs w:val="24"/>
        </w:rPr>
        <w:t xml:space="preserve">A New </w:t>
      </w:r>
      <w:r w:rsidR="00845B74" w:rsidRPr="00956DFD">
        <w:rPr>
          <w:rFonts w:ascii="Times New Roman" w:hAnsi="Times New Roman" w:cs="Times New Roman"/>
          <w:i/>
          <w:sz w:val="24"/>
          <w:szCs w:val="24"/>
        </w:rPr>
        <w:lastRenderedPageBreak/>
        <w:t xml:space="preserve">Zealand Prayer Book (He Karakia </w:t>
      </w:r>
      <w:proofErr w:type="spellStart"/>
      <w:r w:rsidR="00845B74" w:rsidRPr="00956DFD">
        <w:rPr>
          <w:rFonts w:ascii="Times New Roman" w:hAnsi="Times New Roman" w:cs="Times New Roman"/>
          <w:i/>
          <w:sz w:val="24"/>
          <w:szCs w:val="24"/>
        </w:rPr>
        <w:t>Mihinare</w:t>
      </w:r>
      <w:proofErr w:type="spellEnd"/>
      <w:r w:rsidR="00845B74" w:rsidRPr="00956DFD">
        <w:rPr>
          <w:rFonts w:ascii="Times New Roman" w:hAnsi="Times New Roman" w:cs="Times New Roman"/>
          <w:i/>
          <w:sz w:val="24"/>
          <w:szCs w:val="24"/>
        </w:rPr>
        <w:t xml:space="preserve"> o </w:t>
      </w:r>
      <w:proofErr w:type="spellStart"/>
      <w:r w:rsidR="00845B74" w:rsidRPr="00956DFD">
        <w:rPr>
          <w:rFonts w:ascii="Times New Roman" w:hAnsi="Times New Roman" w:cs="Times New Roman"/>
          <w:i/>
          <w:sz w:val="24"/>
          <w:szCs w:val="24"/>
        </w:rPr>
        <w:t>Aotearoa</w:t>
      </w:r>
      <w:proofErr w:type="spellEnd"/>
      <w:r w:rsidR="00845B74" w:rsidRPr="00956DFD">
        <w:rPr>
          <w:rFonts w:ascii="Times New Roman" w:hAnsi="Times New Roman" w:cs="Times New Roman"/>
          <w:i/>
          <w:sz w:val="24"/>
          <w:szCs w:val="24"/>
        </w:rPr>
        <w:t>)</w:t>
      </w:r>
      <w:r w:rsidRPr="00956DFD">
        <w:rPr>
          <w:rFonts w:ascii="Times New Roman" w:hAnsi="Times New Roman" w:cs="Times New Roman"/>
          <w:i/>
          <w:sz w:val="24"/>
          <w:szCs w:val="24"/>
        </w:rPr>
        <w:t>,</w:t>
      </w:r>
      <w:r w:rsidR="00845B74" w:rsidRPr="00956DFD">
        <w:rPr>
          <w:rFonts w:ascii="Times New Roman" w:hAnsi="Times New Roman" w:cs="Times New Roman"/>
          <w:sz w:val="24"/>
          <w:szCs w:val="24"/>
        </w:rPr>
        <w:t xml:space="preserve"> written in the Maori language </w:t>
      </w:r>
      <w:r w:rsidRPr="00956DFD">
        <w:rPr>
          <w:rFonts w:ascii="Times New Roman" w:hAnsi="Times New Roman" w:cs="Times New Roman"/>
          <w:sz w:val="24"/>
          <w:szCs w:val="24"/>
        </w:rPr>
        <w:t xml:space="preserve">for the </w:t>
      </w:r>
      <w:r w:rsidR="00D91B8A" w:rsidRPr="00956DFD">
        <w:rPr>
          <w:rFonts w:ascii="Times New Roman" w:hAnsi="Times New Roman" w:cs="Times New Roman"/>
          <w:sz w:val="24"/>
          <w:szCs w:val="24"/>
        </w:rPr>
        <w:t xml:space="preserve">indigenous people in New Zealand.  The posted material is a </w:t>
      </w:r>
      <w:r w:rsidR="00845B74" w:rsidRPr="00956DFD">
        <w:rPr>
          <w:rFonts w:ascii="Times New Roman" w:hAnsi="Times New Roman" w:cs="Times New Roman"/>
          <w:sz w:val="24"/>
          <w:szCs w:val="24"/>
        </w:rPr>
        <w:t>translat</w:t>
      </w:r>
      <w:r w:rsidR="00D91B8A" w:rsidRPr="00956DFD">
        <w:rPr>
          <w:rFonts w:ascii="Times New Roman" w:hAnsi="Times New Roman" w:cs="Times New Roman"/>
          <w:sz w:val="24"/>
          <w:szCs w:val="24"/>
        </w:rPr>
        <w:t>ion from Maori into E</w:t>
      </w:r>
      <w:r w:rsidR="00845B74" w:rsidRPr="00956DFD">
        <w:rPr>
          <w:rFonts w:ascii="Times New Roman" w:hAnsi="Times New Roman" w:cs="Times New Roman"/>
          <w:sz w:val="24"/>
          <w:szCs w:val="24"/>
        </w:rPr>
        <w:t>nglish</w:t>
      </w:r>
      <w:r w:rsidR="00D91B8A" w:rsidRPr="00956DFD">
        <w:rPr>
          <w:rFonts w:ascii="Times New Roman" w:hAnsi="Times New Roman" w:cs="Times New Roman"/>
          <w:sz w:val="24"/>
          <w:szCs w:val="24"/>
        </w:rPr>
        <w:t xml:space="preserve">.  </w:t>
      </w:r>
      <w:r w:rsidR="009C11F7" w:rsidRPr="00956DFD">
        <w:rPr>
          <w:rFonts w:ascii="Times New Roman" w:hAnsi="Times New Roman" w:cs="Times New Roman"/>
          <w:sz w:val="24"/>
          <w:szCs w:val="24"/>
        </w:rPr>
        <w:t xml:space="preserve">This prayer </w:t>
      </w:r>
      <w:r w:rsidR="00D91B8A" w:rsidRPr="00956DFD">
        <w:rPr>
          <w:rFonts w:ascii="Times New Roman" w:hAnsi="Times New Roman" w:cs="Times New Roman"/>
          <w:sz w:val="24"/>
          <w:szCs w:val="24"/>
        </w:rPr>
        <w:t>re</w:t>
      </w:r>
      <w:r w:rsidR="009C11F7" w:rsidRPr="00956DFD">
        <w:rPr>
          <w:rFonts w:ascii="Times New Roman" w:hAnsi="Times New Roman" w:cs="Times New Roman"/>
          <w:sz w:val="24"/>
          <w:szCs w:val="24"/>
        </w:rPr>
        <w:t xml:space="preserve">presents the Maori people’s </w:t>
      </w:r>
      <w:r w:rsidR="00845B74" w:rsidRPr="00956DFD">
        <w:rPr>
          <w:rFonts w:ascii="Times New Roman" w:hAnsi="Times New Roman" w:cs="Times New Roman"/>
          <w:sz w:val="24"/>
          <w:szCs w:val="24"/>
        </w:rPr>
        <w:t xml:space="preserve">worldview </w:t>
      </w:r>
      <w:r w:rsidR="009C11F7" w:rsidRPr="00956DFD">
        <w:rPr>
          <w:rFonts w:ascii="Times New Roman" w:hAnsi="Times New Roman" w:cs="Times New Roman"/>
          <w:sz w:val="24"/>
          <w:szCs w:val="24"/>
        </w:rPr>
        <w:t xml:space="preserve">and </w:t>
      </w:r>
      <w:r w:rsidR="00D91B8A" w:rsidRPr="00956DFD">
        <w:rPr>
          <w:rFonts w:ascii="Times New Roman" w:hAnsi="Times New Roman" w:cs="Times New Roman"/>
          <w:sz w:val="24"/>
          <w:szCs w:val="24"/>
        </w:rPr>
        <w:t xml:space="preserve">their understanding of God.  By praying the Lord’s Prayer from New Zealand, we can </w:t>
      </w:r>
      <w:r w:rsidR="009C11F7" w:rsidRPr="00956DFD">
        <w:rPr>
          <w:rFonts w:ascii="Times New Roman" w:hAnsi="Times New Roman" w:cs="Times New Roman"/>
          <w:sz w:val="24"/>
          <w:szCs w:val="24"/>
        </w:rPr>
        <w:t xml:space="preserve">stretch our own understanding of God and </w:t>
      </w:r>
      <w:r w:rsidR="00D91B8A" w:rsidRPr="00956DFD">
        <w:rPr>
          <w:rFonts w:ascii="Times New Roman" w:hAnsi="Times New Roman" w:cs="Times New Roman"/>
          <w:sz w:val="24"/>
          <w:szCs w:val="24"/>
        </w:rPr>
        <w:t xml:space="preserve">pray in solidarity with those who pray in that way.  </w:t>
      </w:r>
      <w:r w:rsidR="009C11F7" w:rsidRPr="00956DFD">
        <w:rPr>
          <w:rFonts w:ascii="Times New Roman" w:hAnsi="Times New Roman" w:cs="Times New Roman"/>
          <w:sz w:val="24"/>
          <w:szCs w:val="24"/>
        </w:rPr>
        <w:t xml:space="preserve">  </w:t>
      </w:r>
    </w:p>
    <w:p w:rsidR="00EF47BF" w:rsidRPr="00956DFD" w:rsidRDefault="00711E5E" w:rsidP="00711E5E">
      <w:pPr>
        <w:spacing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 xml:space="preserve">In addition to the resources I posted in Canvas, numerous liturgical resources are available for multicultural worship.  </w:t>
      </w:r>
      <w:r w:rsidR="009C11F7" w:rsidRPr="00956DFD">
        <w:rPr>
          <w:rFonts w:ascii="Times New Roman" w:hAnsi="Times New Roman" w:cs="Times New Roman"/>
          <w:sz w:val="24"/>
          <w:szCs w:val="24"/>
        </w:rPr>
        <w:t>Concerning music</w:t>
      </w:r>
      <w:r w:rsidRPr="00956DFD">
        <w:rPr>
          <w:rFonts w:ascii="Times New Roman" w:hAnsi="Times New Roman" w:cs="Times New Roman"/>
          <w:sz w:val="24"/>
          <w:szCs w:val="24"/>
        </w:rPr>
        <w:t xml:space="preserve">, </w:t>
      </w:r>
      <w:r w:rsidR="00D91B8A" w:rsidRPr="00956DFD">
        <w:rPr>
          <w:rFonts w:ascii="Times New Roman" w:hAnsi="Times New Roman" w:cs="Times New Roman"/>
          <w:sz w:val="24"/>
          <w:szCs w:val="24"/>
        </w:rPr>
        <w:t xml:space="preserve">for example, </w:t>
      </w:r>
      <w:r w:rsidRPr="00956DFD">
        <w:rPr>
          <w:rFonts w:ascii="Times New Roman" w:hAnsi="Times New Roman" w:cs="Times New Roman"/>
          <w:sz w:val="24"/>
          <w:szCs w:val="24"/>
        </w:rPr>
        <w:t>it is notable that</w:t>
      </w:r>
      <w:r w:rsidR="009C11F7" w:rsidRPr="00956DFD">
        <w:rPr>
          <w:rFonts w:ascii="Times New Roman" w:hAnsi="Times New Roman" w:cs="Times New Roman"/>
          <w:sz w:val="24"/>
          <w:szCs w:val="24"/>
        </w:rPr>
        <w:t xml:space="preserve"> </w:t>
      </w:r>
      <w:r w:rsidR="00D91B8A" w:rsidRPr="00956DFD">
        <w:rPr>
          <w:rFonts w:ascii="Times New Roman" w:hAnsi="Times New Roman" w:cs="Times New Roman"/>
          <w:sz w:val="24"/>
          <w:szCs w:val="24"/>
        </w:rPr>
        <w:t>m</w:t>
      </w:r>
      <w:r w:rsidR="009C11F7" w:rsidRPr="00956DFD">
        <w:rPr>
          <w:rFonts w:ascii="Times New Roman" w:hAnsi="Times New Roman" w:cs="Times New Roman"/>
          <w:sz w:val="24"/>
          <w:szCs w:val="24"/>
        </w:rPr>
        <w:t xml:space="preserve">ainline denominations </w:t>
      </w:r>
      <w:r w:rsidR="00D91B8A" w:rsidRPr="00956DFD">
        <w:rPr>
          <w:rFonts w:ascii="Times New Roman" w:hAnsi="Times New Roman" w:cs="Times New Roman"/>
          <w:sz w:val="24"/>
          <w:szCs w:val="24"/>
        </w:rPr>
        <w:t xml:space="preserve">are aware of the significance of </w:t>
      </w:r>
      <w:r w:rsidR="008C7218" w:rsidRPr="00956DFD">
        <w:rPr>
          <w:rFonts w:ascii="Times New Roman" w:hAnsi="Times New Roman" w:cs="Times New Roman"/>
          <w:sz w:val="24"/>
          <w:szCs w:val="24"/>
        </w:rPr>
        <w:t xml:space="preserve">multicultural worship and have revised their hymnals by including more </w:t>
      </w:r>
      <w:r w:rsidR="009C11F7" w:rsidRPr="00956DFD">
        <w:rPr>
          <w:rFonts w:ascii="Times New Roman" w:hAnsi="Times New Roman" w:cs="Times New Roman"/>
          <w:sz w:val="24"/>
          <w:szCs w:val="24"/>
        </w:rPr>
        <w:t>international hymns and songs</w:t>
      </w:r>
      <w:r w:rsidR="008C7218" w:rsidRPr="00956DFD">
        <w:rPr>
          <w:rFonts w:ascii="Times New Roman" w:hAnsi="Times New Roman" w:cs="Times New Roman"/>
          <w:sz w:val="24"/>
          <w:szCs w:val="24"/>
        </w:rPr>
        <w:t xml:space="preserve">.  In addition, they </w:t>
      </w:r>
      <w:r w:rsidR="00EF47BF" w:rsidRPr="00956DFD">
        <w:rPr>
          <w:rFonts w:ascii="Times New Roman" w:hAnsi="Times New Roman" w:cs="Times New Roman"/>
          <w:sz w:val="24"/>
          <w:szCs w:val="24"/>
        </w:rPr>
        <w:t xml:space="preserve">have published supplementary music </w:t>
      </w:r>
      <w:r w:rsidR="009C11F7" w:rsidRPr="00956DFD">
        <w:rPr>
          <w:rFonts w:ascii="Times New Roman" w:hAnsi="Times New Roman" w:cs="Times New Roman"/>
          <w:sz w:val="24"/>
          <w:szCs w:val="24"/>
        </w:rPr>
        <w:t>books</w:t>
      </w:r>
      <w:r w:rsidR="00EF47BF" w:rsidRPr="00956DFD">
        <w:rPr>
          <w:rFonts w:ascii="Times New Roman" w:hAnsi="Times New Roman" w:cs="Times New Roman"/>
          <w:sz w:val="24"/>
          <w:szCs w:val="24"/>
        </w:rPr>
        <w:t xml:space="preserve"> like </w:t>
      </w:r>
      <w:r w:rsidR="00EF47BF" w:rsidRPr="00956DFD">
        <w:rPr>
          <w:rFonts w:ascii="Times New Roman" w:hAnsi="Times New Roman" w:cs="Times New Roman"/>
          <w:i/>
          <w:sz w:val="24"/>
          <w:szCs w:val="24"/>
        </w:rPr>
        <w:t>The Faith We</w:t>
      </w:r>
      <w:r w:rsidR="009C11F7" w:rsidRPr="00956DFD">
        <w:rPr>
          <w:rFonts w:ascii="Times New Roman" w:hAnsi="Times New Roman" w:cs="Times New Roman"/>
          <w:i/>
          <w:sz w:val="24"/>
          <w:szCs w:val="24"/>
        </w:rPr>
        <w:t xml:space="preserve"> </w:t>
      </w:r>
      <w:r w:rsidR="00EF47BF" w:rsidRPr="00956DFD">
        <w:rPr>
          <w:rFonts w:ascii="Times New Roman" w:hAnsi="Times New Roman" w:cs="Times New Roman"/>
          <w:i/>
          <w:sz w:val="24"/>
          <w:szCs w:val="24"/>
        </w:rPr>
        <w:t>Sing</w:t>
      </w:r>
      <w:r w:rsidR="00EF47BF" w:rsidRPr="00956DFD">
        <w:rPr>
          <w:rFonts w:ascii="Times New Roman" w:hAnsi="Times New Roman" w:cs="Times New Roman"/>
          <w:sz w:val="24"/>
          <w:szCs w:val="24"/>
        </w:rPr>
        <w:t xml:space="preserve"> (UMC), </w:t>
      </w:r>
      <w:r w:rsidR="00EF47BF" w:rsidRPr="00956DFD">
        <w:rPr>
          <w:rFonts w:ascii="Times New Roman" w:hAnsi="Times New Roman" w:cs="Times New Roman"/>
          <w:i/>
          <w:sz w:val="24"/>
          <w:szCs w:val="24"/>
        </w:rPr>
        <w:t>Lift Every Voice and Sing</w:t>
      </w:r>
      <w:r w:rsidR="00EF47BF" w:rsidRPr="00956DFD">
        <w:rPr>
          <w:rFonts w:ascii="Times New Roman" w:hAnsi="Times New Roman" w:cs="Times New Roman"/>
          <w:sz w:val="24"/>
          <w:szCs w:val="24"/>
        </w:rPr>
        <w:t xml:space="preserve"> (Episcopal), </w:t>
      </w:r>
      <w:r w:rsidR="00EF47BF" w:rsidRPr="00956DFD">
        <w:rPr>
          <w:rFonts w:ascii="Times New Roman" w:hAnsi="Times New Roman" w:cs="Times New Roman"/>
          <w:i/>
          <w:sz w:val="24"/>
          <w:szCs w:val="24"/>
        </w:rPr>
        <w:t xml:space="preserve">Lift </w:t>
      </w:r>
      <w:proofErr w:type="gramStart"/>
      <w:r w:rsidR="00EF47BF" w:rsidRPr="00956DFD">
        <w:rPr>
          <w:rFonts w:ascii="Times New Roman" w:hAnsi="Times New Roman" w:cs="Times New Roman"/>
          <w:i/>
          <w:sz w:val="24"/>
          <w:szCs w:val="24"/>
        </w:rPr>
        <w:t>Up</w:t>
      </w:r>
      <w:proofErr w:type="gramEnd"/>
      <w:r w:rsidR="00EF47BF" w:rsidRPr="00956DFD">
        <w:rPr>
          <w:rFonts w:ascii="Times New Roman" w:hAnsi="Times New Roman" w:cs="Times New Roman"/>
          <w:i/>
          <w:sz w:val="24"/>
          <w:szCs w:val="24"/>
        </w:rPr>
        <w:t xml:space="preserve"> Your Hearts</w:t>
      </w:r>
      <w:r w:rsidR="00EF47BF" w:rsidRPr="00956DFD">
        <w:rPr>
          <w:rFonts w:ascii="Times New Roman" w:hAnsi="Times New Roman" w:cs="Times New Roman"/>
          <w:sz w:val="24"/>
          <w:szCs w:val="24"/>
        </w:rPr>
        <w:t xml:space="preserve"> (PCUSA) </w:t>
      </w:r>
      <w:r w:rsidR="008C7218" w:rsidRPr="00956DFD">
        <w:rPr>
          <w:rFonts w:ascii="Times New Roman" w:hAnsi="Times New Roman" w:cs="Times New Roman"/>
          <w:sz w:val="24"/>
          <w:szCs w:val="24"/>
        </w:rPr>
        <w:t xml:space="preserve">and others </w:t>
      </w:r>
      <w:r w:rsidR="00EF47BF" w:rsidRPr="00956DFD">
        <w:rPr>
          <w:rFonts w:ascii="Times New Roman" w:hAnsi="Times New Roman" w:cs="Times New Roman"/>
          <w:sz w:val="24"/>
          <w:szCs w:val="24"/>
        </w:rPr>
        <w:t xml:space="preserve">that include many worldwide songs.  Martin Tel’s essay in </w:t>
      </w:r>
      <w:r w:rsidR="00EF47BF" w:rsidRPr="00956DFD">
        <w:rPr>
          <w:rFonts w:ascii="Times New Roman" w:hAnsi="Times New Roman" w:cs="Times New Roman"/>
          <w:i/>
          <w:sz w:val="24"/>
          <w:szCs w:val="24"/>
        </w:rPr>
        <w:t>Making Room at the Table</w:t>
      </w:r>
      <w:r w:rsidR="00EF47BF" w:rsidRPr="00956DFD">
        <w:rPr>
          <w:rFonts w:ascii="Times New Roman" w:hAnsi="Times New Roman" w:cs="Times New Roman"/>
          <w:sz w:val="24"/>
          <w:szCs w:val="24"/>
        </w:rPr>
        <w:t xml:space="preserve"> (eds.</w:t>
      </w:r>
      <w:r w:rsidR="00351A5D">
        <w:rPr>
          <w:rFonts w:ascii="Times New Roman" w:hAnsi="Times New Roman" w:cs="Times New Roman"/>
          <w:sz w:val="24"/>
          <w:szCs w:val="24"/>
        </w:rPr>
        <w:t xml:space="preserve"> </w:t>
      </w:r>
      <w:r w:rsidR="00EF47BF" w:rsidRPr="00956DFD">
        <w:rPr>
          <w:rFonts w:ascii="Times New Roman" w:hAnsi="Times New Roman" w:cs="Times New Roman"/>
          <w:sz w:val="24"/>
          <w:szCs w:val="24"/>
        </w:rPr>
        <w:t xml:space="preserve">Brain Blount and Leonora Tisdale) provides </w:t>
      </w:r>
      <w:r w:rsidR="00265BD1" w:rsidRPr="00956DFD">
        <w:rPr>
          <w:rFonts w:ascii="Times New Roman" w:hAnsi="Times New Roman" w:cs="Times New Roman"/>
          <w:sz w:val="24"/>
          <w:szCs w:val="24"/>
        </w:rPr>
        <w:t xml:space="preserve">some insights into </w:t>
      </w:r>
      <w:r w:rsidR="00EF47BF" w:rsidRPr="00956DFD">
        <w:rPr>
          <w:rFonts w:ascii="Times New Roman" w:hAnsi="Times New Roman" w:cs="Times New Roman"/>
          <w:sz w:val="24"/>
          <w:szCs w:val="24"/>
        </w:rPr>
        <w:t>singing culturally different songs</w:t>
      </w:r>
      <w:r w:rsidR="00265BD1" w:rsidRPr="00956DFD">
        <w:rPr>
          <w:rFonts w:ascii="Times New Roman" w:hAnsi="Times New Roman" w:cs="Times New Roman"/>
          <w:sz w:val="24"/>
          <w:szCs w:val="24"/>
        </w:rPr>
        <w:t xml:space="preserve"> in a </w:t>
      </w:r>
      <w:r w:rsidR="008C7218" w:rsidRPr="00956DFD">
        <w:rPr>
          <w:rFonts w:ascii="Times New Roman" w:hAnsi="Times New Roman" w:cs="Times New Roman"/>
          <w:sz w:val="24"/>
          <w:szCs w:val="24"/>
        </w:rPr>
        <w:t xml:space="preserve">more </w:t>
      </w:r>
      <w:r w:rsidR="00265BD1" w:rsidRPr="00956DFD">
        <w:rPr>
          <w:rFonts w:ascii="Times New Roman" w:hAnsi="Times New Roman" w:cs="Times New Roman"/>
          <w:sz w:val="24"/>
          <w:szCs w:val="24"/>
        </w:rPr>
        <w:t>meaningful and effective way</w:t>
      </w:r>
      <w:r w:rsidR="00EF47BF" w:rsidRPr="00956DFD">
        <w:rPr>
          <w:rFonts w:ascii="Times New Roman" w:hAnsi="Times New Roman" w:cs="Times New Roman"/>
          <w:sz w:val="24"/>
          <w:szCs w:val="24"/>
        </w:rPr>
        <w:t xml:space="preserve">.  </w:t>
      </w:r>
    </w:p>
    <w:p w:rsidR="00E44BBC" w:rsidRPr="00C41437" w:rsidRDefault="00E44BBC" w:rsidP="00C41437">
      <w:pPr>
        <w:spacing w:after="0" w:line="480" w:lineRule="auto"/>
        <w:jc w:val="center"/>
        <w:rPr>
          <w:rFonts w:ascii="Times New Roman" w:hAnsi="Times New Roman" w:cs="Times New Roman"/>
          <w:b/>
          <w:sz w:val="24"/>
          <w:szCs w:val="24"/>
        </w:rPr>
      </w:pPr>
      <w:r w:rsidRPr="00C41437">
        <w:rPr>
          <w:rFonts w:ascii="Times New Roman" w:hAnsi="Times New Roman" w:cs="Times New Roman"/>
          <w:b/>
          <w:sz w:val="24"/>
          <w:szCs w:val="24"/>
        </w:rPr>
        <w:t>Suggestions for the Change of Worship</w:t>
      </w:r>
    </w:p>
    <w:p w:rsidR="00DB3C5E" w:rsidRPr="00956DFD" w:rsidRDefault="00DB3C5E" w:rsidP="00E44BBC">
      <w:pPr>
        <w:spacing w:after="0" w:line="480" w:lineRule="auto"/>
        <w:ind w:firstLine="720"/>
        <w:rPr>
          <w:rFonts w:ascii="Times New Roman" w:hAnsi="Times New Roman" w:cs="Times New Roman"/>
          <w:sz w:val="24"/>
          <w:szCs w:val="24"/>
        </w:rPr>
      </w:pPr>
      <w:r w:rsidRPr="00956DFD">
        <w:rPr>
          <w:rFonts w:ascii="Times New Roman" w:hAnsi="Times New Roman" w:cs="Times New Roman"/>
          <w:sz w:val="24"/>
          <w:szCs w:val="24"/>
        </w:rPr>
        <w:t xml:space="preserve">In order to bring liturgical renewal, worship leaders need pastoral sensitivity and </w:t>
      </w:r>
      <w:proofErr w:type="gramStart"/>
      <w:r w:rsidR="00541A6F" w:rsidRPr="00956DFD">
        <w:rPr>
          <w:rFonts w:ascii="Times New Roman" w:hAnsi="Times New Roman" w:cs="Times New Roman"/>
          <w:sz w:val="24"/>
          <w:szCs w:val="24"/>
        </w:rPr>
        <w:t>constructive</w:t>
      </w:r>
      <w:proofErr w:type="gramEnd"/>
      <w:r w:rsidR="00541A6F" w:rsidRPr="00956DFD">
        <w:rPr>
          <w:rFonts w:ascii="Times New Roman" w:hAnsi="Times New Roman" w:cs="Times New Roman"/>
          <w:sz w:val="24"/>
          <w:szCs w:val="24"/>
        </w:rPr>
        <w:t xml:space="preserve"> </w:t>
      </w:r>
      <w:r w:rsidRPr="00956DFD">
        <w:rPr>
          <w:rFonts w:ascii="Times New Roman" w:hAnsi="Times New Roman" w:cs="Times New Roman"/>
          <w:sz w:val="24"/>
          <w:szCs w:val="24"/>
        </w:rPr>
        <w:t>strategies.  Following are some suggestio</w:t>
      </w:r>
      <w:bookmarkStart w:id="0" w:name="_GoBack"/>
      <w:bookmarkEnd w:id="0"/>
      <w:r w:rsidRPr="00956DFD">
        <w:rPr>
          <w:rFonts w:ascii="Times New Roman" w:hAnsi="Times New Roman" w:cs="Times New Roman"/>
          <w:sz w:val="24"/>
          <w:szCs w:val="24"/>
        </w:rPr>
        <w:t>ns for the change of worship:</w:t>
      </w:r>
    </w:p>
    <w:p w:rsidR="00FB76C4" w:rsidRPr="00956DFD" w:rsidRDefault="008C7218" w:rsidP="00541A6F">
      <w:pPr>
        <w:numPr>
          <w:ilvl w:val="0"/>
          <w:numId w:val="5"/>
        </w:numPr>
        <w:spacing w:after="0" w:line="480" w:lineRule="auto"/>
        <w:rPr>
          <w:rFonts w:ascii="Times New Roman" w:hAnsi="Times New Roman" w:cs="Times New Roman"/>
          <w:sz w:val="24"/>
          <w:szCs w:val="24"/>
        </w:rPr>
      </w:pPr>
      <w:r w:rsidRPr="00956DFD">
        <w:rPr>
          <w:rFonts w:ascii="Times New Roman" w:hAnsi="Times New Roman" w:cs="Times New Roman"/>
          <w:sz w:val="24"/>
          <w:szCs w:val="24"/>
        </w:rPr>
        <w:t>Be sensitive to the particular context for change.</w:t>
      </w:r>
    </w:p>
    <w:p w:rsidR="00FB76C4" w:rsidRPr="00956DFD" w:rsidRDefault="008C7218" w:rsidP="00541A6F">
      <w:pPr>
        <w:numPr>
          <w:ilvl w:val="0"/>
          <w:numId w:val="5"/>
        </w:numPr>
        <w:spacing w:after="0" w:line="480" w:lineRule="auto"/>
        <w:rPr>
          <w:rFonts w:ascii="Times New Roman" w:hAnsi="Times New Roman" w:cs="Times New Roman"/>
          <w:sz w:val="24"/>
          <w:szCs w:val="24"/>
        </w:rPr>
      </w:pPr>
      <w:r w:rsidRPr="00956DFD">
        <w:rPr>
          <w:rFonts w:ascii="Times New Roman" w:hAnsi="Times New Roman" w:cs="Times New Roman"/>
          <w:sz w:val="24"/>
          <w:szCs w:val="24"/>
        </w:rPr>
        <w:t>Don’t try to “sneak” changes but have enough communication.</w:t>
      </w:r>
    </w:p>
    <w:p w:rsidR="00FB76C4" w:rsidRPr="00956DFD" w:rsidRDefault="008C7218" w:rsidP="00541A6F">
      <w:pPr>
        <w:numPr>
          <w:ilvl w:val="0"/>
          <w:numId w:val="5"/>
        </w:numPr>
        <w:spacing w:after="0" w:line="480" w:lineRule="auto"/>
        <w:rPr>
          <w:rFonts w:ascii="Times New Roman" w:hAnsi="Times New Roman" w:cs="Times New Roman"/>
          <w:sz w:val="24"/>
          <w:szCs w:val="24"/>
        </w:rPr>
      </w:pPr>
      <w:r w:rsidRPr="00956DFD">
        <w:rPr>
          <w:rFonts w:ascii="Times New Roman" w:hAnsi="Times New Roman" w:cs="Times New Roman"/>
          <w:sz w:val="24"/>
          <w:szCs w:val="24"/>
        </w:rPr>
        <w:t xml:space="preserve">Continue to emphasize the need </w:t>
      </w:r>
      <w:r w:rsidR="00AD17CF" w:rsidRPr="00956DFD">
        <w:rPr>
          <w:rFonts w:ascii="Times New Roman" w:hAnsi="Times New Roman" w:cs="Times New Roman"/>
          <w:sz w:val="24"/>
          <w:szCs w:val="24"/>
        </w:rPr>
        <w:t>for</w:t>
      </w:r>
      <w:r w:rsidRPr="00956DFD">
        <w:rPr>
          <w:rFonts w:ascii="Times New Roman" w:hAnsi="Times New Roman" w:cs="Times New Roman"/>
          <w:sz w:val="24"/>
          <w:szCs w:val="24"/>
        </w:rPr>
        <w:t xml:space="preserve"> change.</w:t>
      </w:r>
    </w:p>
    <w:p w:rsidR="00FB76C4" w:rsidRPr="00956DFD" w:rsidRDefault="008C7218" w:rsidP="00541A6F">
      <w:pPr>
        <w:numPr>
          <w:ilvl w:val="0"/>
          <w:numId w:val="5"/>
        </w:numPr>
        <w:spacing w:after="0" w:line="480" w:lineRule="auto"/>
        <w:rPr>
          <w:rFonts w:ascii="Times New Roman" w:hAnsi="Times New Roman" w:cs="Times New Roman"/>
          <w:sz w:val="24"/>
          <w:szCs w:val="24"/>
        </w:rPr>
      </w:pPr>
      <w:r w:rsidRPr="00956DFD">
        <w:rPr>
          <w:rFonts w:ascii="Times New Roman" w:hAnsi="Times New Roman" w:cs="Times New Roman"/>
          <w:sz w:val="24"/>
          <w:szCs w:val="24"/>
        </w:rPr>
        <w:t>Don’t try to pack in too many changes at once.</w:t>
      </w:r>
    </w:p>
    <w:p w:rsidR="00FB76C4" w:rsidRPr="00956DFD" w:rsidRDefault="007C41C0" w:rsidP="00541A6F">
      <w:pPr>
        <w:numPr>
          <w:ilvl w:val="0"/>
          <w:numId w:val="5"/>
        </w:numPr>
        <w:spacing w:after="0" w:line="480" w:lineRule="auto"/>
        <w:rPr>
          <w:rFonts w:ascii="Times New Roman" w:hAnsi="Times New Roman" w:cs="Times New Roman"/>
          <w:sz w:val="24"/>
          <w:szCs w:val="24"/>
        </w:rPr>
      </w:pPr>
      <w:r w:rsidRPr="00956DFD">
        <w:rPr>
          <w:rFonts w:ascii="Times New Roman" w:hAnsi="Times New Roman" w:cs="Times New Roman"/>
          <w:sz w:val="24"/>
          <w:szCs w:val="24"/>
        </w:rPr>
        <w:t>A t</w:t>
      </w:r>
      <w:r w:rsidR="008C7218" w:rsidRPr="00956DFD">
        <w:rPr>
          <w:rFonts w:ascii="Times New Roman" w:hAnsi="Times New Roman" w:cs="Times New Roman"/>
          <w:sz w:val="24"/>
          <w:szCs w:val="24"/>
        </w:rPr>
        <w:t>emporary change or a try-out period is effective.</w:t>
      </w:r>
    </w:p>
    <w:p w:rsidR="00FB76C4" w:rsidRPr="00956DFD" w:rsidRDefault="008C7218" w:rsidP="00541A6F">
      <w:pPr>
        <w:numPr>
          <w:ilvl w:val="0"/>
          <w:numId w:val="5"/>
        </w:numPr>
        <w:spacing w:after="0" w:line="480" w:lineRule="auto"/>
        <w:rPr>
          <w:rFonts w:ascii="Times New Roman" w:hAnsi="Times New Roman" w:cs="Times New Roman"/>
          <w:sz w:val="24"/>
          <w:szCs w:val="24"/>
        </w:rPr>
      </w:pPr>
      <w:r w:rsidRPr="00956DFD">
        <w:rPr>
          <w:rFonts w:ascii="Times New Roman" w:hAnsi="Times New Roman" w:cs="Times New Roman"/>
          <w:sz w:val="24"/>
          <w:szCs w:val="24"/>
        </w:rPr>
        <w:t>Offer occasional special opportunities to practice new things</w:t>
      </w:r>
      <w:r w:rsidR="007C41C0" w:rsidRPr="00956DFD">
        <w:rPr>
          <w:rFonts w:ascii="Times New Roman" w:hAnsi="Times New Roman" w:cs="Times New Roman"/>
          <w:sz w:val="24"/>
          <w:szCs w:val="24"/>
        </w:rPr>
        <w:t xml:space="preserve"> in worship</w:t>
      </w:r>
      <w:r w:rsidRPr="00956DFD">
        <w:rPr>
          <w:rFonts w:ascii="Times New Roman" w:hAnsi="Times New Roman" w:cs="Times New Roman"/>
          <w:sz w:val="24"/>
          <w:szCs w:val="24"/>
        </w:rPr>
        <w:t>.</w:t>
      </w:r>
    </w:p>
    <w:p w:rsidR="00FB76C4" w:rsidRPr="00956DFD" w:rsidRDefault="008C7218" w:rsidP="00541A6F">
      <w:pPr>
        <w:numPr>
          <w:ilvl w:val="0"/>
          <w:numId w:val="5"/>
        </w:numPr>
        <w:spacing w:after="0" w:line="480" w:lineRule="auto"/>
        <w:rPr>
          <w:rFonts w:ascii="Times New Roman" w:hAnsi="Times New Roman" w:cs="Times New Roman"/>
          <w:sz w:val="24"/>
          <w:szCs w:val="24"/>
        </w:rPr>
      </w:pPr>
      <w:r w:rsidRPr="00956DFD">
        <w:rPr>
          <w:rFonts w:ascii="Times New Roman" w:hAnsi="Times New Roman" w:cs="Times New Roman"/>
          <w:sz w:val="24"/>
          <w:szCs w:val="24"/>
        </w:rPr>
        <w:lastRenderedPageBreak/>
        <w:t xml:space="preserve">Education.  Always accompany changes with information about the theological, biblical, and historical significance of the change.  </w:t>
      </w:r>
    </w:p>
    <w:p w:rsidR="00541A6F" w:rsidRPr="00956DFD" w:rsidRDefault="00541A6F" w:rsidP="00541A6F">
      <w:pPr>
        <w:spacing w:after="0" w:line="480" w:lineRule="auto"/>
        <w:rPr>
          <w:rFonts w:ascii="Times New Roman" w:hAnsi="Times New Roman" w:cs="Times New Roman"/>
          <w:sz w:val="24"/>
          <w:szCs w:val="24"/>
        </w:rPr>
      </w:pPr>
      <w:r w:rsidRPr="00956DFD">
        <w:rPr>
          <w:rFonts w:ascii="Times New Roman" w:hAnsi="Times New Roman" w:cs="Times New Roman"/>
          <w:sz w:val="24"/>
          <w:szCs w:val="24"/>
        </w:rPr>
        <w:t> </w:t>
      </w:r>
    </w:p>
    <w:p w:rsidR="00541A6F" w:rsidRPr="00956DFD" w:rsidRDefault="00541A6F" w:rsidP="00265BD1">
      <w:pPr>
        <w:spacing w:after="0" w:line="480" w:lineRule="auto"/>
        <w:rPr>
          <w:rFonts w:ascii="Times New Roman" w:hAnsi="Times New Roman" w:cs="Times New Roman"/>
          <w:sz w:val="24"/>
          <w:szCs w:val="24"/>
        </w:rPr>
      </w:pPr>
    </w:p>
    <w:p w:rsidR="00265BD1" w:rsidRPr="00956DFD" w:rsidRDefault="00265BD1" w:rsidP="00FB2658">
      <w:pPr>
        <w:spacing w:line="480" w:lineRule="auto"/>
        <w:ind w:firstLine="360"/>
        <w:jc w:val="center"/>
        <w:rPr>
          <w:rFonts w:ascii="Times New Roman" w:hAnsi="Times New Roman" w:cs="Times New Roman"/>
          <w:b/>
          <w:sz w:val="24"/>
          <w:szCs w:val="24"/>
        </w:rPr>
      </w:pPr>
    </w:p>
    <w:sectPr w:rsidR="00265BD1" w:rsidRPr="00956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B1" w:rsidRDefault="001121B1" w:rsidP="00956DFD">
      <w:pPr>
        <w:spacing w:after="0" w:line="240" w:lineRule="auto"/>
      </w:pPr>
      <w:r>
        <w:separator/>
      </w:r>
    </w:p>
  </w:endnote>
  <w:endnote w:type="continuationSeparator" w:id="0">
    <w:p w:rsidR="001121B1" w:rsidRDefault="001121B1" w:rsidP="0095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B1" w:rsidRDefault="001121B1" w:rsidP="00956DFD">
      <w:pPr>
        <w:spacing w:after="0" w:line="240" w:lineRule="auto"/>
      </w:pPr>
      <w:r>
        <w:separator/>
      </w:r>
    </w:p>
  </w:footnote>
  <w:footnote w:type="continuationSeparator" w:id="0">
    <w:p w:rsidR="001121B1" w:rsidRDefault="001121B1" w:rsidP="00956DFD">
      <w:pPr>
        <w:spacing w:after="0" w:line="240" w:lineRule="auto"/>
      </w:pPr>
      <w:r>
        <w:continuationSeparator/>
      </w:r>
    </w:p>
  </w:footnote>
  <w:footnote w:id="1">
    <w:p w:rsidR="00956DFD" w:rsidRDefault="00956DFD" w:rsidP="00956DFD">
      <w:pPr>
        <w:pStyle w:val="FootnoteText"/>
      </w:pPr>
      <w:r>
        <w:rPr>
          <w:rStyle w:val="FootnoteReference"/>
        </w:rPr>
        <w:footnoteRef/>
      </w:r>
      <w:r>
        <w:t xml:space="preserve"> Mark Johnson, </w:t>
      </w:r>
      <w:proofErr w:type="gramStart"/>
      <w:r w:rsidRPr="00EC413D">
        <w:rPr>
          <w:i/>
        </w:rPr>
        <w:t>The</w:t>
      </w:r>
      <w:proofErr w:type="gramEnd"/>
      <w:r w:rsidRPr="00EC413D">
        <w:rPr>
          <w:i/>
        </w:rPr>
        <w:t xml:space="preserve"> Body in the Mind: The Bodily Basis of Meaning, Imagination, and Reason</w:t>
      </w:r>
      <w:r>
        <w:t xml:space="preserve"> (Chicago: The University of Chicago Press, 1987), 139.</w:t>
      </w:r>
    </w:p>
  </w:footnote>
  <w:footnote w:id="2">
    <w:p w:rsidR="00956DFD" w:rsidRDefault="00956DFD" w:rsidP="00956DFD">
      <w:pPr>
        <w:pStyle w:val="FootnoteText"/>
      </w:pPr>
      <w:r>
        <w:rPr>
          <w:rStyle w:val="FootnoteReference"/>
        </w:rPr>
        <w:footnoteRef/>
      </w:r>
      <w:r>
        <w:t xml:space="preserve"> </w:t>
      </w:r>
      <w:proofErr w:type="gramStart"/>
      <w:r>
        <w:t>Ibid.,</w:t>
      </w:r>
      <w:proofErr w:type="gramEnd"/>
      <w:r>
        <w:t xml:space="preserve"> 140.</w:t>
      </w:r>
    </w:p>
  </w:footnote>
  <w:footnote w:id="3">
    <w:p w:rsidR="00956DFD" w:rsidRDefault="00956DFD" w:rsidP="00956DFD">
      <w:pPr>
        <w:pStyle w:val="FootnoteText"/>
      </w:pPr>
      <w:r>
        <w:rPr>
          <w:rStyle w:val="FootnoteReference"/>
        </w:rPr>
        <w:footnoteRef/>
      </w:r>
      <w:r>
        <w:t xml:space="preserve"> Patrick Sherry, </w:t>
      </w:r>
      <w:r w:rsidRPr="0095234F">
        <w:rPr>
          <w:i/>
        </w:rPr>
        <w:t>Spirit and Beauty: An Introduction to Theological Aesthetics</w:t>
      </w:r>
      <w:r>
        <w:t>, 2</w:t>
      </w:r>
      <w:r w:rsidRPr="0095234F">
        <w:rPr>
          <w:vertAlign w:val="superscript"/>
        </w:rPr>
        <w:t>nd</w:t>
      </w:r>
      <w:r>
        <w:t xml:space="preserve"> Edition (London: SCM Press, 2002), 111.</w:t>
      </w:r>
    </w:p>
  </w:footnote>
  <w:footnote w:id="4">
    <w:p w:rsidR="00956DFD" w:rsidRDefault="00956DFD" w:rsidP="00956DFD">
      <w:pPr>
        <w:pStyle w:val="FootnoteText"/>
      </w:pPr>
      <w:r>
        <w:rPr>
          <w:rStyle w:val="FootnoteReference"/>
        </w:rPr>
        <w:footnoteRef/>
      </w:r>
      <w:r>
        <w:t xml:space="preserve"> Ibid.</w:t>
      </w:r>
    </w:p>
  </w:footnote>
  <w:footnote w:id="5">
    <w:p w:rsidR="00956DFD" w:rsidRDefault="00956DFD" w:rsidP="00956DFD">
      <w:pPr>
        <w:pStyle w:val="FootnoteText"/>
      </w:pPr>
      <w:r>
        <w:rPr>
          <w:rStyle w:val="FootnoteReference"/>
        </w:rPr>
        <w:footnoteRef/>
      </w:r>
      <w:r>
        <w:t xml:space="preserve"> </w:t>
      </w:r>
      <w:proofErr w:type="gramStart"/>
      <w:r>
        <w:t>Ibid.,</w:t>
      </w:r>
      <w:proofErr w:type="gramEnd"/>
      <w:r>
        <w:t xml:space="preserve"> 113.</w:t>
      </w:r>
    </w:p>
  </w:footnote>
  <w:footnote w:id="6">
    <w:p w:rsidR="00956DFD" w:rsidRDefault="00956DFD" w:rsidP="00956DFD">
      <w:pPr>
        <w:pStyle w:val="FootnoteText"/>
      </w:pPr>
      <w:r>
        <w:rPr>
          <w:rStyle w:val="FootnoteReference"/>
        </w:rPr>
        <w:footnoteRef/>
      </w:r>
      <w:r>
        <w:t xml:space="preserve"> Ibid.</w:t>
      </w:r>
    </w:p>
  </w:footnote>
  <w:footnote w:id="7">
    <w:p w:rsidR="00956DFD" w:rsidRDefault="00956DFD" w:rsidP="00956DFD">
      <w:pPr>
        <w:pStyle w:val="FootnoteText"/>
      </w:pPr>
      <w:r>
        <w:rPr>
          <w:rStyle w:val="FootnoteReference"/>
        </w:rPr>
        <w:footnoteRef/>
      </w:r>
      <w:r>
        <w:t xml:space="preserve"> Ibid.</w:t>
      </w:r>
    </w:p>
  </w:footnote>
  <w:footnote w:id="8">
    <w:p w:rsidR="00956DFD" w:rsidRDefault="00956DFD" w:rsidP="00956DFD">
      <w:pPr>
        <w:pStyle w:val="FootnoteText"/>
      </w:pPr>
      <w:r>
        <w:rPr>
          <w:rStyle w:val="FootnoteReference"/>
        </w:rPr>
        <w:footnoteRef/>
      </w:r>
      <w:r>
        <w:t xml:space="preserve"> </w:t>
      </w:r>
      <w:proofErr w:type="gramStart"/>
      <w:r>
        <w:t>Ibid.,</w:t>
      </w:r>
      <w:proofErr w:type="gramEnd"/>
      <w:r>
        <w:t xml:space="preserve"> 114.</w:t>
      </w:r>
    </w:p>
  </w:footnote>
  <w:footnote w:id="9">
    <w:p w:rsidR="00956DFD" w:rsidRDefault="00956DFD" w:rsidP="00956DFD">
      <w:pPr>
        <w:pStyle w:val="FootnoteText"/>
      </w:pPr>
      <w:r>
        <w:rPr>
          <w:rStyle w:val="FootnoteReference"/>
        </w:rPr>
        <w:footnoteRef/>
      </w:r>
      <w:r>
        <w:t xml:space="preserve"> Thomas </w:t>
      </w:r>
      <w:proofErr w:type="spellStart"/>
      <w:r>
        <w:t>Troeger</w:t>
      </w:r>
      <w:proofErr w:type="spellEnd"/>
      <w:r>
        <w:t xml:space="preserve">, </w:t>
      </w:r>
      <w:r w:rsidRPr="008C1486">
        <w:rPr>
          <w:i/>
        </w:rPr>
        <w:t>Imagining a Sermon</w:t>
      </w:r>
      <w:r>
        <w:t xml:space="preserve"> (Nashville: Abingdon Press, 1990), 107.</w:t>
      </w:r>
    </w:p>
  </w:footnote>
  <w:footnote w:id="10">
    <w:p w:rsidR="00956DFD" w:rsidRDefault="00956DFD" w:rsidP="00956DFD">
      <w:pPr>
        <w:pStyle w:val="FootnoteText"/>
      </w:pPr>
      <w:r>
        <w:rPr>
          <w:rStyle w:val="FootnoteReference"/>
        </w:rPr>
        <w:footnoteRef/>
      </w:r>
      <w:r>
        <w:t xml:space="preserve"> Johnson, 172.</w:t>
      </w:r>
    </w:p>
  </w:footnote>
  <w:footnote w:id="11">
    <w:p w:rsidR="00956DFD" w:rsidRDefault="00956DFD" w:rsidP="00956DFD">
      <w:pPr>
        <w:pStyle w:val="FootnoteText"/>
      </w:pPr>
      <w:r>
        <w:rPr>
          <w:rStyle w:val="FootnoteReference"/>
        </w:rPr>
        <w:footnoteRef/>
      </w:r>
      <w:r>
        <w:t xml:space="preserve"> </w:t>
      </w:r>
      <w:proofErr w:type="gramStart"/>
      <w:r>
        <w:t>Ibid.,</w:t>
      </w:r>
      <w:proofErr w:type="gramEnd"/>
      <w:r>
        <w:t xml:space="preserve"> 177.</w:t>
      </w:r>
    </w:p>
  </w:footnote>
  <w:footnote w:id="12">
    <w:p w:rsidR="00956DFD" w:rsidRDefault="00956DFD" w:rsidP="00956DFD">
      <w:pPr>
        <w:pStyle w:val="FootnoteText"/>
      </w:pPr>
      <w:r>
        <w:rPr>
          <w:rStyle w:val="FootnoteReference"/>
        </w:rPr>
        <w:footnoteRef/>
      </w:r>
      <w:r>
        <w:t xml:space="preserve"> Cf., Paul Tillich’s “Correlational Method” in </w:t>
      </w:r>
      <w:r w:rsidRPr="00505496">
        <w:rPr>
          <w:i/>
        </w:rPr>
        <w:t>Systematic Theology</w:t>
      </w:r>
      <w:r>
        <w:t xml:space="preserve">, Vol. 1 (Chicago: University of Chicago Press, 1973); Tracy’s “Mutual Correlational Method” in </w:t>
      </w:r>
      <w:r w:rsidRPr="008A49D2">
        <w:rPr>
          <w:i/>
        </w:rPr>
        <w:t xml:space="preserve">Blessed Rage for Order: The New Pluralism in Theology </w:t>
      </w:r>
      <w:r>
        <w:t xml:space="preserve">(New York: Seabury Press, 1975); James and </w:t>
      </w:r>
      <w:proofErr w:type="spellStart"/>
      <w:r>
        <w:t>Everlyn</w:t>
      </w:r>
      <w:proofErr w:type="spellEnd"/>
      <w:r>
        <w:t xml:space="preserve"> Whitehead, “Three Stages in Method” in </w:t>
      </w:r>
      <w:r w:rsidRPr="008A49D2">
        <w:rPr>
          <w:i/>
        </w:rPr>
        <w:t>Method in Ministry: Theological Reflection and Christian Ministry</w:t>
      </w:r>
      <w:r>
        <w:t xml:space="preserve"> (London: </w:t>
      </w:r>
      <w:proofErr w:type="spellStart"/>
      <w:r>
        <w:t>Sheed</w:t>
      </w:r>
      <w:proofErr w:type="spellEnd"/>
      <w:r>
        <w:t xml:space="preserve"> and Ward, 1980); and </w:t>
      </w:r>
      <w:proofErr w:type="spellStart"/>
      <w:r>
        <w:t>Osmer’s</w:t>
      </w:r>
      <w:proofErr w:type="spellEnd"/>
      <w:r>
        <w:t xml:space="preserve"> “Four Tasks of Practical Theological Interpretation” in </w:t>
      </w:r>
      <w:r w:rsidRPr="008A49D2">
        <w:rPr>
          <w:i/>
        </w:rPr>
        <w:t>Practical Theology</w:t>
      </w:r>
      <w:r>
        <w:t>.</w:t>
      </w:r>
    </w:p>
  </w:footnote>
  <w:footnote w:id="13">
    <w:p w:rsidR="00956DFD" w:rsidRDefault="00956DFD" w:rsidP="00956DFD">
      <w:pPr>
        <w:pStyle w:val="FootnoteText"/>
      </w:pPr>
      <w:r>
        <w:rPr>
          <w:rStyle w:val="FootnoteReference"/>
        </w:rPr>
        <w:footnoteRef/>
      </w:r>
      <w:r w:rsidR="00E0704D">
        <w:t xml:space="preserve"> </w:t>
      </w:r>
      <w:r w:rsidR="00E0704D" w:rsidRPr="005B5191">
        <w:t>Duncan B. Forrester</w:t>
      </w:r>
      <w:r w:rsidR="00E0704D" w:rsidRPr="005B5191">
        <w:rPr>
          <w:i/>
        </w:rPr>
        <w:t xml:space="preserve">, Truthful Action: Exploration of Practical Theology </w:t>
      </w:r>
      <w:r w:rsidR="00E0704D" w:rsidRPr="005B5191">
        <w:t>(Edinburgh: T&amp;T Clark,</w:t>
      </w:r>
      <w:r w:rsidR="00E0704D">
        <w:t xml:space="preserve"> 2001),</w:t>
      </w:r>
      <w:r>
        <w:t xml:space="preserve"> </w:t>
      </w:r>
      <w:r w:rsidR="00E0704D">
        <w:t>1</w:t>
      </w:r>
      <w:r>
        <w:t>01.</w:t>
      </w:r>
    </w:p>
  </w:footnote>
  <w:footnote w:id="14">
    <w:p w:rsidR="00956DFD" w:rsidRDefault="00956DFD" w:rsidP="00956DFD">
      <w:pPr>
        <w:pStyle w:val="FootnoteText"/>
      </w:pPr>
      <w:r>
        <w:rPr>
          <w:rStyle w:val="FootnoteReference"/>
        </w:rPr>
        <w:footnoteRef/>
      </w:r>
      <w:r>
        <w:t xml:space="preserve"> Sherry, 103.</w:t>
      </w:r>
    </w:p>
  </w:footnote>
  <w:footnote w:id="15">
    <w:p w:rsidR="00956DFD" w:rsidRDefault="00956DFD" w:rsidP="00956DFD">
      <w:pPr>
        <w:pStyle w:val="FootnoteText"/>
      </w:pPr>
      <w:r>
        <w:rPr>
          <w:rStyle w:val="FootnoteReference"/>
        </w:rPr>
        <w:footnoteRef/>
      </w:r>
      <w:r>
        <w:t xml:space="preserve"> </w:t>
      </w:r>
      <w:proofErr w:type="gramStart"/>
      <w:r>
        <w:t>Ibid.,</w:t>
      </w:r>
      <w:proofErr w:type="gramEnd"/>
      <w:r>
        <w:t xml:space="preserve"> 104, 107.</w:t>
      </w:r>
    </w:p>
  </w:footnote>
  <w:footnote w:id="16">
    <w:p w:rsidR="00956DFD" w:rsidRDefault="00956DFD" w:rsidP="00956DFD">
      <w:pPr>
        <w:pStyle w:val="FootnoteText"/>
      </w:pPr>
      <w:r>
        <w:rPr>
          <w:rStyle w:val="FootnoteReference"/>
        </w:rPr>
        <w:footnoteRef/>
      </w:r>
      <w:r>
        <w:t xml:space="preserve"> </w:t>
      </w:r>
      <w:proofErr w:type="gramStart"/>
      <w:r>
        <w:t>Ibid.,</w:t>
      </w:r>
      <w:proofErr w:type="gramEnd"/>
      <w:r>
        <w:t xml:space="preserve"> 77.</w:t>
      </w:r>
    </w:p>
  </w:footnote>
  <w:footnote w:id="17">
    <w:p w:rsidR="00956DFD" w:rsidRDefault="00956DFD" w:rsidP="00956DFD">
      <w:pPr>
        <w:pStyle w:val="FootnoteText"/>
      </w:pPr>
      <w:r>
        <w:rPr>
          <w:rStyle w:val="FootnoteReference"/>
        </w:rPr>
        <w:footnoteRef/>
      </w:r>
      <w:r>
        <w:t xml:space="preserve"> </w:t>
      </w:r>
      <w:proofErr w:type="gramStart"/>
      <w:r>
        <w:t>Ibid.,</w:t>
      </w:r>
      <w:proofErr w:type="gramEnd"/>
      <w:r>
        <w:t xml:space="preserve"> 108.</w:t>
      </w:r>
    </w:p>
  </w:footnote>
  <w:footnote w:id="18">
    <w:p w:rsidR="00956DFD" w:rsidRDefault="00956DFD" w:rsidP="00956DFD">
      <w:pPr>
        <w:pStyle w:val="FootnoteText"/>
      </w:pPr>
      <w:r>
        <w:rPr>
          <w:rStyle w:val="FootnoteReference"/>
        </w:rPr>
        <w:footnoteRef/>
      </w:r>
      <w:r>
        <w:t xml:space="preserve"> The sermon and the order of the service that are used as samples </w:t>
      </w:r>
      <w:r w:rsidR="00D6369B">
        <w:t xml:space="preserve">in this section are included on the </w:t>
      </w:r>
      <w:r w:rsidR="00E163FD">
        <w:t xml:space="preserve">course </w:t>
      </w:r>
      <w:r w:rsidR="00D6369B">
        <w:t xml:space="preserve">Home page of </w:t>
      </w:r>
      <w:r w:rsidR="00E163FD">
        <w:t xml:space="preserve">the </w:t>
      </w:r>
      <w:r w:rsidR="00D6369B">
        <w:t>Canvas</w:t>
      </w:r>
      <w:r>
        <w:t>.</w:t>
      </w:r>
    </w:p>
  </w:footnote>
  <w:footnote w:id="19">
    <w:p w:rsidR="00956DFD" w:rsidRDefault="00956DFD" w:rsidP="00956DFD">
      <w:pPr>
        <w:pStyle w:val="FootnoteText"/>
      </w:pPr>
      <w:r>
        <w:rPr>
          <w:rStyle w:val="FootnoteReference"/>
        </w:rPr>
        <w:footnoteRef/>
      </w:r>
      <w:r>
        <w:t xml:space="preserve"> Denpres.org. Viewed on November 7, 2016.</w:t>
      </w:r>
    </w:p>
  </w:footnote>
  <w:footnote w:id="20">
    <w:p w:rsidR="00956DFD" w:rsidRDefault="00956DFD" w:rsidP="00956DFD">
      <w:pPr>
        <w:pStyle w:val="FootnoteText"/>
      </w:pPr>
      <w:r>
        <w:rPr>
          <w:rStyle w:val="FootnoteReference"/>
        </w:rPr>
        <w:footnoteRef/>
      </w:r>
      <w:r>
        <w:t xml:space="preserve"> </w:t>
      </w:r>
      <w:hyperlink r:id="rId1" w:history="1">
        <w:r w:rsidRPr="00FC0C91">
          <w:rPr>
            <w:rStyle w:val="Hyperlink"/>
          </w:rPr>
          <w:t>http://censusviewer.com/city/CO/Denver</w:t>
        </w:r>
      </w:hyperlink>
      <w:r>
        <w:t xml:space="preserve">; </w:t>
      </w:r>
      <w:hyperlink r:id="rId2" w:history="1">
        <w:r w:rsidRPr="00FC0C91">
          <w:rPr>
            <w:rStyle w:val="Hyperlink"/>
          </w:rPr>
          <w:t>https://en.wikipedia.org/wiki/Demographics_of_Denver</w:t>
        </w:r>
      </w:hyperlink>
      <w:r>
        <w:t>. Viewed on November 8, 2016.</w:t>
      </w:r>
    </w:p>
  </w:footnote>
  <w:footnote w:id="21">
    <w:p w:rsidR="00956DFD" w:rsidRDefault="00956DFD" w:rsidP="00956DFD">
      <w:r w:rsidRPr="00032F49">
        <w:rPr>
          <w:rStyle w:val="FootnoteReference"/>
        </w:rPr>
        <w:footnoteRef/>
      </w:r>
      <w:r w:rsidRPr="00032F49">
        <w:t xml:space="preserve"> </w:t>
      </w:r>
      <w:r w:rsidRPr="00032F49">
        <w:rPr>
          <w:rFonts w:eastAsia="Times New Roman"/>
        </w:rPr>
        <w:t xml:space="preserve">G. P. </w:t>
      </w:r>
      <w:proofErr w:type="spellStart"/>
      <w:r w:rsidRPr="00032F49">
        <w:rPr>
          <w:rFonts w:eastAsia="Times New Roman"/>
        </w:rPr>
        <w:t>Malalasekera</w:t>
      </w:r>
      <w:proofErr w:type="spellEnd"/>
      <w:r w:rsidRPr="00032F49">
        <w:rPr>
          <w:rFonts w:eastAsia="Times New Roman"/>
        </w:rPr>
        <w:t xml:space="preserve"> and </w:t>
      </w:r>
      <w:proofErr w:type="spellStart"/>
      <w:r w:rsidRPr="00032F49">
        <w:rPr>
          <w:rFonts w:eastAsia="Times New Roman"/>
        </w:rPr>
        <w:t>H.N.Jayatilleke</w:t>
      </w:r>
      <w:proofErr w:type="spellEnd"/>
      <w:r>
        <w:rPr>
          <w:rFonts w:eastAsia="Times New Roman"/>
        </w:rPr>
        <w:t>,</w:t>
      </w:r>
      <w:r w:rsidRPr="00032F49">
        <w:rPr>
          <w:rFonts w:eastAsia="Times New Roman"/>
        </w:rPr>
        <w:t xml:space="preserve"> </w:t>
      </w:r>
      <w:r w:rsidRPr="00032F49">
        <w:rPr>
          <w:rFonts w:eastAsia="Times New Roman"/>
          <w:i/>
        </w:rPr>
        <w:t>Buddhism and Race Question</w:t>
      </w:r>
      <w:r w:rsidRPr="00032F49">
        <w:rPr>
          <w:rFonts w:eastAsia="Times New Roman"/>
        </w:rPr>
        <w:t xml:space="preserve">, </w:t>
      </w:r>
      <w:r>
        <w:rPr>
          <w:rFonts w:eastAsia="Times New Roman"/>
        </w:rPr>
        <w:t>O</w:t>
      </w:r>
      <w:r w:rsidRPr="00032F49">
        <w:rPr>
          <w:rFonts w:eastAsia="Times New Roman"/>
        </w:rPr>
        <w:t xml:space="preserve">nline </w:t>
      </w:r>
      <w:r>
        <w:rPr>
          <w:rFonts w:eastAsia="Times New Roman"/>
        </w:rPr>
        <w:t>E</w:t>
      </w:r>
      <w:r w:rsidRPr="00032F49">
        <w:rPr>
          <w:rFonts w:eastAsia="Times New Roman"/>
        </w:rPr>
        <w:t>dition, (Kandy, Sri Lanka: Buddhist Publication Society, 2006).</w:t>
      </w:r>
      <w:r>
        <w:rPr>
          <w:rFonts w:eastAsia="Times New Roman"/>
        </w:rPr>
        <w:t xml:space="preserve">  Viewed on November 10.</w:t>
      </w:r>
    </w:p>
  </w:footnote>
  <w:footnote w:id="22">
    <w:p w:rsidR="00956DFD" w:rsidRPr="00E0704D" w:rsidRDefault="00956DFD" w:rsidP="00956DFD">
      <w:pPr>
        <w:rPr>
          <w:rFonts w:ascii="Times New Roman" w:hAnsi="Times New Roman" w:cs="Times New Roman"/>
          <w:sz w:val="20"/>
          <w:szCs w:val="20"/>
        </w:rPr>
      </w:pPr>
      <w:r w:rsidRPr="00E0704D">
        <w:rPr>
          <w:rStyle w:val="FootnoteReference"/>
          <w:rFonts w:ascii="Times New Roman" w:hAnsi="Times New Roman" w:cs="Times New Roman"/>
          <w:sz w:val="20"/>
          <w:szCs w:val="20"/>
        </w:rPr>
        <w:footnoteRef/>
      </w:r>
      <w:r w:rsidRPr="00E0704D">
        <w:rPr>
          <w:rFonts w:ascii="Times New Roman" w:hAnsi="Times New Roman" w:cs="Times New Roman"/>
          <w:sz w:val="20"/>
          <w:szCs w:val="20"/>
        </w:rPr>
        <w:t xml:space="preserve"> </w:t>
      </w:r>
      <w:proofErr w:type="spellStart"/>
      <w:r w:rsidRPr="00E0704D">
        <w:rPr>
          <w:rFonts w:ascii="Times New Roman" w:eastAsia="Times New Roman" w:hAnsi="Times New Roman" w:cs="Times New Roman"/>
          <w:sz w:val="20"/>
          <w:szCs w:val="20"/>
        </w:rPr>
        <w:t>Hozan</w:t>
      </w:r>
      <w:proofErr w:type="spellEnd"/>
      <w:r w:rsidRPr="00E0704D">
        <w:rPr>
          <w:rFonts w:ascii="Times New Roman" w:eastAsia="Times New Roman" w:hAnsi="Times New Roman" w:cs="Times New Roman"/>
          <w:sz w:val="20"/>
          <w:szCs w:val="20"/>
        </w:rPr>
        <w:t xml:space="preserve"> Alan </w:t>
      </w:r>
      <w:proofErr w:type="spellStart"/>
      <w:r w:rsidRPr="00E0704D">
        <w:rPr>
          <w:rFonts w:ascii="Times New Roman" w:eastAsia="Times New Roman" w:hAnsi="Times New Roman" w:cs="Times New Roman"/>
          <w:sz w:val="20"/>
          <w:szCs w:val="20"/>
        </w:rPr>
        <w:t>Senauke</w:t>
      </w:r>
      <w:proofErr w:type="spellEnd"/>
      <w:r w:rsidRPr="00E0704D">
        <w:rPr>
          <w:rFonts w:ascii="Times New Roman" w:eastAsia="Times New Roman" w:hAnsi="Times New Roman" w:cs="Times New Roman"/>
          <w:sz w:val="20"/>
          <w:szCs w:val="20"/>
        </w:rPr>
        <w:t>, “On Race &amp; Buddhism” (</w:t>
      </w:r>
      <w:hyperlink r:id="rId3" w:history="1">
        <w:r w:rsidRPr="00E0704D">
          <w:rPr>
            <w:rStyle w:val="Hyperlink"/>
            <w:rFonts w:ascii="Times New Roman" w:eastAsia="Times New Roman" w:hAnsi="Times New Roman" w:cs="Times New Roman"/>
            <w:sz w:val="20"/>
            <w:szCs w:val="20"/>
          </w:rPr>
          <w:t>http://www.patheos.com/blogs/monkeymind/2012/03/zen-teacher-alan-senauke-on-race-and-buddhism.html</w:t>
        </w:r>
      </w:hyperlink>
      <w:r w:rsidRPr="00E0704D">
        <w:rPr>
          <w:rFonts w:ascii="Times New Roman" w:eastAsia="Times New Roman" w:hAnsi="Times New Roman" w:cs="Times New Roman"/>
          <w:sz w:val="20"/>
          <w:szCs w:val="20"/>
        </w:rPr>
        <w:t>).  Viewed on November 10, 2016.</w:t>
      </w:r>
    </w:p>
  </w:footnote>
  <w:footnote w:id="23">
    <w:p w:rsidR="00956DFD" w:rsidRPr="00E0704D" w:rsidRDefault="00956DFD" w:rsidP="00956DFD">
      <w:pPr>
        <w:rPr>
          <w:rFonts w:ascii="Times New Roman" w:eastAsia="Times New Roman" w:hAnsi="Times New Roman" w:cs="Times New Roman"/>
          <w:sz w:val="20"/>
          <w:szCs w:val="20"/>
        </w:rPr>
      </w:pPr>
      <w:r w:rsidRPr="00E0704D">
        <w:rPr>
          <w:rStyle w:val="FootnoteReference"/>
          <w:rFonts w:ascii="Times New Roman" w:hAnsi="Times New Roman" w:cs="Times New Roman"/>
          <w:sz w:val="20"/>
          <w:szCs w:val="20"/>
        </w:rPr>
        <w:footnoteRef/>
      </w:r>
      <w:r w:rsidRPr="00E0704D">
        <w:rPr>
          <w:rFonts w:ascii="Times New Roman" w:hAnsi="Times New Roman" w:cs="Times New Roman"/>
          <w:sz w:val="20"/>
          <w:szCs w:val="20"/>
        </w:rPr>
        <w:t xml:space="preserve"> </w:t>
      </w:r>
      <w:r w:rsidRPr="00E0704D">
        <w:rPr>
          <w:rFonts w:ascii="Times New Roman" w:eastAsia="Times New Roman" w:hAnsi="Times New Roman" w:cs="Times New Roman"/>
          <w:sz w:val="20"/>
          <w:szCs w:val="20"/>
        </w:rPr>
        <w:t xml:space="preserve">Rosa </w:t>
      </w:r>
      <w:proofErr w:type="spellStart"/>
      <w:r w:rsidRPr="00E0704D">
        <w:rPr>
          <w:rFonts w:ascii="Times New Roman" w:eastAsia="Times New Roman" w:hAnsi="Times New Roman" w:cs="Times New Roman"/>
          <w:sz w:val="20"/>
          <w:szCs w:val="20"/>
        </w:rPr>
        <w:t>Zubizarreta</w:t>
      </w:r>
      <w:proofErr w:type="spellEnd"/>
      <w:r w:rsidRPr="00E0704D">
        <w:rPr>
          <w:rFonts w:ascii="Times New Roman" w:eastAsia="Times New Roman" w:hAnsi="Times New Roman" w:cs="Times New Roman"/>
          <w:sz w:val="20"/>
          <w:szCs w:val="20"/>
        </w:rPr>
        <w:t xml:space="preserve">, “Making Invisible Visible,” in </w:t>
      </w:r>
      <w:r w:rsidRPr="00E0704D">
        <w:rPr>
          <w:rFonts w:ascii="Times New Roman" w:eastAsia="Times New Roman" w:hAnsi="Times New Roman" w:cs="Times New Roman"/>
          <w:i/>
          <w:sz w:val="20"/>
          <w:szCs w:val="20"/>
        </w:rPr>
        <w:t>Healing Racism in Our Buddhist Communities</w:t>
      </w:r>
      <w:r w:rsidRPr="00E0704D">
        <w:rPr>
          <w:rFonts w:ascii="Times New Roman" w:hAnsi="Times New Roman" w:cs="Times New Roman"/>
          <w:sz w:val="20"/>
          <w:szCs w:val="20"/>
        </w:rPr>
        <w:t xml:space="preserve"> (</w:t>
      </w:r>
      <w:r w:rsidRPr="00E0704D">
        <w:rPr>
          <w:rFonts w:ascii="Times New Roman" w:eastAsia="Times New Roman" w:hAnsi="Times New Roman" w:cs="Times New Roman"/>
          <w:sz w:val="20"/>
          <w:szCs w:val="20"/>
        </w:rPr>
        <w:t xml:space="preserve">https://www.dharma.org/sites/default/f Rosa </w:t>
      </w:r>
      <w:proofErr w:type="spellStart"/>
      <w:r w:rsidRPr="00E0704D">
        <w:rPr>
          <w:rFonts w:ascii="Times New Roman" w:eastAsia="Times New Roman" w:hAnsi="Times New Roman" w:cs="Times New Roman"/>
          <w:sz w:val="20"/>
          <w:szCs w:val="20"/>
        </w:rPr>
        <w:t>Zubizarreta</w:t>
      </w:r>
      <w:proofErr w:type="spellEnd"/>
      <w:r w:rsidRPr="00E0704D">
        <w:rPr>
          <w:rFonts w:ascii="Times New Roman" w:eastAsia="Times New Roman" w:hAnsi="Times New Roman" w:cs="Times New Roman"/>
          <w:sz w:val="20"/>
          <w:szCs w:val="20"/>
        </w:rPr>
        <w:t xml:space="preserve"> </w:t>
      </w:r>
      <w:proofErr w:type="spellStart"/>
      <w:r w:rsidRPr="00E0704D">
        <w:rPr>
          <w:rFonts w:ascii="Times New Roman" w:eastAsia="Times New Roman" w:hAnsi="Times New Roman" w:cs="Times New Roman"/>
          <w:sz w:val="20"/>
          <w:szCs w:val="20"/>
        </w:rPr>
        <w:t>iles</w:t>
      </w:r>
      <w:proofErr w:type="spellEnd"/>
      <w:r w:rsidRPr="00E0704D">
        <w:rPr>
          <w:rFonts w:ascii="Times New Roman" w:eastAsia="Times New Roman" w:hAnsi="Times New Roman" w:cs="Times New Roman"/>
          <w:sz w:val="20"/>
          <w:szCs w:val="20"/>
        </w:rPr>
        <w:t>/Making%20the%20Invisible%20Visible.pdf).  Viewed on November 9, 2016</w:t>
      </w:r>
    </w:p>
    <w:p w:rsidR="00956DFD" w:rsidRPr="00E0704D" w:rsidRDefault="00956DFD" w:rsidP="00956DFD">
      <w:pPr>
        <w:pStyle w:val="FootnoteText"/>
      </w:pPr>
    </w:p>
  </w:footnote>
  <w:footnote w:id="24">
    <w:p w:rsidR="00956DFD" w:rsidRDefault="00956DFD" w:rsidP="00956DFD">
      <w:pPr>
        <w:pStyle w:val="FootnoteText"/>
      </w:pPr>
      <w:r w:rsidRPr="00E0704D">
        <w:rPr>
          <w:rStyle w:val="FootnoteReference"/>
        </w:rPr>
        <w:footnoteRef/>
      </w:r>
      <w:r w:rsidRPr="00E0704D">
        <w:t xml:space="preserve"> The Theology and Worship Ministry Unit (prepared), </w:t>
      </w:r>
      <w:r w:rsidRPr="00E0704D">
        <w:rPr>
          <w:i/>
        </w:rPr>
        <w:t>Book of Common Worship</w:t>
      </w:r>
      <w:r w:rsidRPr="00E0704D">
        <w:t xml:space="preserve"> (Louisville: Westminster/John </w:t>
      </w:r>
      <w:r>
        <w:t>Knox Press, 1993), 33-45.</w:t>
      </w:r>
    </w:p>
  </w:footnote>
  <w:footnote w:id="25">
    <w:p w:rsidR="00956DFD" w:rsidRDefault="00956DFD" w:rsidP="00956DFD">
      <w:pPr>
        <w:pStyle w:val="FootnoteText"/>
      </w:pPr>
      <w:r>
        <w:rPr>
          <w:rStyle w:val="FootnoteReference"/>
        </w:rPr>
        <w:footnoteRef/>
      </w:r>
      <w:r>
        <w:t xml:space="preserve"> Refer to Chapter 3 of this volume.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3500"/>
    <w:multiLevelType w:val="hybridMultilevel"/>
    <w:tmpl w:val="E18EC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9042AF"/>
    <w:multiLevelType w:val="hybridMultilevel"/>
    <w:tmpl w:val="F6E0987A"/>
    <w:lvl w:ilvl="0" w:tplc="94F28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A16E1"/>
    <w:multiLevelType w:val="hybridMultilevel"/>
    <w:tmpl w:val="3184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90B0D"/>
    <w:multiLevelType w:val="hybridMultilevel"/>
    <w:tmpl w:val="59E2C4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032CB8"/>
    <w:multiLevelType w:val="hybridMultilevel"/>
    <w:tmpl w:val="AA74A074"/>
    <w:lvl w:ilvl="0" w:tplc="307A3C26">
      <w:start w:val="1"/>
      <w:numFmt w:val="bullet"/>
      <w:lvlText w:val="•"/>
      <w:lvlJc w:val="left"/>
      <w:pPr>
        <w:tabs>
          <w:tab w:val="num" w:pos="720"/>
        </w:tabs>
        <w:ind w:left="720" w:hanging="360"/>
      </w:pPr>
      <w:rPr>
        <w:rFonts w:ascii="Arial" w:hAnsi="Arial" w:hint="default"/>
      </w:rPr>
    </w:lvl>
    <w:lvl w:ilvl="1" w:tplc="DDD24D1E" w:tentative="1">
      <w:start w:val="1"/>
      <w:numFmt w:val="bullet"/>
      <w:lvlText w:val="•"/>
      <w:lvlJc w:val="left"/>
      <w:pPr>
        <w:tabs>
          <w:tab w:val="num" w:pos="1440"/>
        </w:tabs>
        <w:ind w:left="1440" w:hanging="360"/>
      </w:pPr>
      <w:rPr>
        <w:rFonts w:ascii="Arial" w:hAnsi="Arial" w:hint="default"/>
      </w:rPr>
    </w:lvl>
    <w:lvl w:ilvl="2" w:tplc="0B8E92B8" w:tentative="1">
      <w:start w:val="1"/>
      <w:numFmt w:val="bullet"/>
      <w:lvlText w:val="•"/>
      <w:lvlJc w:val="left"/>
      <w:pPr>
        <w:tabs>
          <w:tab w:val="num" w:pos="2160"/>
        </w:tabs>
        <w:ind w:left="2160" w:hanging="360"/>
      </w:pPr>
      <w:rPr>
        <w:rFonts w:ascii="Arial" w:hAnsi="Arial" w:hint="default"/>
      </w:rPr>
    </w:lvl>
    <w:lvl w:ilvl="3" w:tplc="38766EA2" w:tentative="1">
      <w:start w:val="1"/>
      <w:numFmt w:val="bullet"/>
      <w:lvlText w:val="•"/>
      <w:lvlJc w:val="left"/>
      <w:pPr>
        <w:tabs>
          <w:tab w:val="num" w:pos="2880"/>
        </w:tabs>
        <w:ind w:left="2880" w:hanging="360"/>
      </w:pPr>
      <w:rPr>
        <w:rFonts w:ascii="Arial" w:hAnsi="Arial" w:hint="default"/>
      </w:rPr>
    </w:lvl>
    <w:lvl w:ilvl="4" w:tplc="A5C60826" w:tentative="1">
      <w:start w:val="1"/>
      <w:numFmt w:val="bullet"/>
      <w:lvlText w:val="•"/>
      <w:lvlJc w:val="left"/>
      <w:pPr>
        <w:tabs>
          <w:tab w:val="num" w:pos="3600"/>
        </w:tabs>
        <w:ind w:left="3600" w:hanging="360"/>
      </w:pPr>
      <w:rPr>
        <w:rFonts w:ascii="Arial" w:hAnsi="Arial" w:hint="default"/>
      </w:rPr>
    </w:lvl>
    <w:lvl w:ilvl="5" w:tplc="E8546C8C" w:tentative="1">
      <w:start w:val="1"/>
      <w:numFmt w:val="bullet"/>
      <w:lvlText w:val="•"/>
      <w:lvlJc w:val="left"/>
      <w:pPr>
        <w:tabs>
          <w:tab w:val="num" w:pos="4320"/>
        </w:tabs>
        <w:ind w:left="4320" w:hanging="360"/>
      </w:pPr>
      <w:rPr>
        <w:rFonts w:ascii="Arial" w:hAnsi="Arial" w:hint="default"/>
      </w:rPr>
    </w:lvl>
    <w:lvl w:ilvl="6" w:tplc="DA28AFD4" w:tentative="1">
      <w:start w:val="1"/>
      <w:numFmt w:val="bullet"/>
      <w:lvlText w:val="•"/>
      <w:lvlJc w:val="left"/>
      <w:pPr>
        <w:tabs>
          <w:tab w:val="num" w:pos="5040"/>
        </w:tabs>
        <w:ind w:left="5040" w:hanging="360"/>
      </w:pPr>
      <w:rPr>
        <w:rFonts w:ascii="Arial" w:hAnsi="Arial" w:hint="default"/>
      </w:rPr>
    </w:lvl>
    <w:lvl w:ilvl="7" w:tplc="C6181370" w:tentative="1">
      <w:start w:val="1"/>
      <w:numFmt w:val="bullet"/>
      <w:lvlText w:val="•"/>
      <w:lvlJc w:val="left"/>
      <w:pPr>
        <w:tabs>
          <w:tab w:val="num" w:pos="5760"/>
        </w:tabs>
        <w:ind w:left="5760" w:hanging="360"/>
      </w:pPr>
      <w:rPr>
        <w:rFonts w:ascii="Arial" w:hAnsi="Arial" w:hint="default"/>
      </w:rPr>
    </w:lvl>
    <w:lvl w:ilvl="8" w:tplc="05144D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D83B26"/>
    <w:multiLevelType w:val="hybridMultilevel"/>
    <w:tmpl w:val="36D6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B12AA"/>
    <w:multiLevelType w:val="hybridMultilevel"/>
    <w:tmpl w:val="B4C81416"/>
    <w:lvl w:ilvl="0" w:tplc="2F402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00437"/>
    <w:multiLevelType w:val="hybridMultilevel"/>
    <w:tmpl w:val="CB24A07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5AD567C8"/>
    <w:multiLevelType w:val="hybridMultilevel"/>
    <w:tmpl w:val="84EA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A23BA"/>
    <w:multiLevelType w:val="hybridMultilevel"/>
    <w:tmpl w:val="AAE8FE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B8B0FF2"/>
    <w:multiLevelType w:val="hybridMultilevel"/>
    <w:tmpl w:val="37460A8A"/>
    <w:lvl w:ilvl="0" w:tplc="67DA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7A1F9A"/>
    <w:multiLevelType w:val="hybridMultilevel"/>
    <w:tmpl w:val="A426ED8E"/>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72976698"/>
    <w:multiLevelType w:val="hybridMultilevel"/>
    <w:tmpl w:val="4B682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DD7A32"/>
    <w:multiLevelType w:val="hybridMultilevel"/>
    <w:tmpl w:val="19844568"/>
    <w:lvl w:ilvl="0" w:tplc="9288DA28">
      <w:start w:val="1"/>
      <w:numFmt w:val="decimal"/>
      <w:lvlText w:val="%1."/>
      <w:lvlJc w:val="left"/>
      <w:pPr>
        <w:tabs>
          <w:tab w:val="num" w:pos="720"/>
        </w:tabs>
        <w:ind w:left="720" w:hanging="360"/>
      </w:pPr>
      <w:rPr>
        <w:rFonts w:hint="eastAsia"/>
      </w:rPr>
    </w:lvl>
    <w:lvl w:ilvl="1" w:tplc="C64ABB58">
      <w:start w:val="1"/>
      <w:numFmt w:val="decimal"/>
      <w:lvlText w:val="%2)"/>
      <w:lvlJc w:val="left"/>
      <w:pPr>
        <w:tabs>
          <w:tab w:val="num" w:pos="1440"/>
        </w:tabs>
        <w:ind w:left="1440" w:hanging="360"/>
      </w:pPr>
      <w:rPr>
        <w:rFonts w:hint="eastAsia"/>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6"/>
  </w:num>
  <w:num w:numId="4">
    <w:abstractNumId w:val="13"/>
  </w:num>
  <w:num w:numId="5">
    <w:abstractNumId w:val="4"/>
  </w:num>
  <w:num w:numId="6">
    <w:abstractNumId w:val="2"/>
  </w:num>
  <w:num w:numId="7">
    <w:abstractNumId w:val="7"/>
  </w:num>
  <w:num w:numId="8">
    <w:abstractNumId w:val="9"/>
  </w:num>
  <w:num w:numId="9">
    <w:abstractNumId w:val="8"/>
  </w:num>
  <w:num w:numId="10">
    <w:abstractNumId w:val="5"/>
  </w:num>
  <w:num w:numId="11">
    <w:abstractNumId w:val="0"/>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D4"/>
    <w:rsid w:val="00015856"/>
    <w:rsid w:val="00025331"/>
    <w:rsid w:val="001121B1"/>
    <w:rsid w:val="00163956"/>
    <w:rsid w:val="002225C7"/>
    <w:rsid w:val="00265BD1"/>
    <w:rsid w:val="00280950"/>
    <w:rsid w:val="002F79EC"/>
    <w:rsid w:val="00351A5D"/>
    <w:rsid w:val="003873AC"/>
    <w:rsid w:val="0039305E"/>
    <w:rsid w:val="003C7029"/>
    <w:rsid w:val="004C2EBD"/>
    <w:rsid w:val="004D75EF"/>
    <w:rsid w:val="00541A6F"/>
    <w:rsid w:val="00592299"/>
    <w:rsid w:val="00682676"/>
    <w:rsid w:val="006E0608"/>
    <w:rsid w:val="00711E5E"/>
    <w:rsid w:val="0072412B"/>
    <w:rsid w:val="00741AB0"/>
    <w:rsid w:val="007C41C0"/>
    <w:rsid w:val="007D36FC"/>
    <w:rsid w:val="007E3057"/>
    <w:rsid w:val="00845775"/>
    <w:rsid w:val="00845B74"/>
    <w:rsid w:val="008C60C9"/>
    <w:rsid w:val="008C7218"/>
    <w:rsid w:val="008F5882"/>
    <w:rsid w:val="009048CA"/>
    <w:rsid w:val="00956DFD"/>
    <w:rsid w:val="00973220"/>
    <w:rsid w:val="009A41DD"/>
    <w:rsid w:val="009C11F7"/>
    <w:rsid w:val="009F4AD4"/>
    <w:rsid w:val="00A2671B"/>
    <w:rsid w:val="00AD17CF"/>
    <w:rsid w:val="00BC4934"/>
    <w:rsid w:val="00C41437"/>
    <w:rsid w:val="00CA6420"/>
    <w:rsid w:val="00D21939"/>
    <w:rsid w:val="00D6369B"/>
    <w:rsid w:val="00D91B8A"/>
    <w:rsid w:val="00DB3C5E"/>
    <w:rsid w:val="00DC4332"/>
    <w:rsid w:val="00E0704D"/>
    <w:rsid w:val="00E163FD"/>
    <w:rsid w:val="00E44BBC"/>
    <w:rsid w:val="00E8576D"/>
    <w:rsid w:val="00ED13F7"/>
    <w:rsid w:val="00EF2A65"/>
    <w:rsid w:val="00EF47BF"/>
    <w:rsid w:val="00F13B72"/>
    <w:rsid w:val="00FB2658"/>
    <w:rsid w:val="00FB76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5D3A4-9A24-47B1-A7B8-04BBA11B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D4"/>
    <w:pPr>
      <w:ind w:left="720"/>
      <w:contextualSpacing/>
    </w:pPr>
  </w:style>
  <w:style w:type="paragraph" w:styleId="Title">
    <w:name w:val="Title"/>
    <w:basedOn w:val="Normal"/>
    <w:link w:val="TitleChar"/>
    <w:qFormat/>
    <w:rsid w:val="00956DFD"/>
    <w:pPr>
      <w:overflowPunct w:val="0"/>
      <w:autoSpaceDE w:val="0"/>
      <w:autoSpaceDN w:val="0"/>
      <w:adjustRightInd w:val="0"/>
      <w:spacing w:after="0" w:line="240" w:lineRule="auto"/>
      <w:jc w:val="center"/>
      <w:textAlignment w:val="baseline"/>
    </w:pPr>
    <w:rPr>
      <w:rFonts w:ascii="Times New Roman" w:eastAsia="Malgun Gothic" w:hAnsi="Times New Roman" w:cs="Times New Roman"/>
      <w:b/>
      <w:sz w:val="24"/>
      <w:szCs w:val="20"/>
    </w:rPr>
  </w:style>
  <w:style w:type="character" w:customStyle="1" w:styleId="TitleChar">
    <w:name w:val="Title Char"/>
    <w:basedOn w:val="DefaultParagraphFont"/>
    <w:link w:val="Title"/>
    <w:rsid w:val="00956DFD"/>
    <w:rPr>
      <w:rFonts w:ascii="Times New Roman" w:eastAsia="Malgun Gothic" w:hAnsi="Times New Roman" w:cs="Times New Roman"/>
      <w:b/>
      <w:sz w:val="24"/>
      <w:szCs w:val="20"/>
    </w:rPr>
  </w:style>
  <w:style w:type="paragraph" w:styleId="BlockText">
    <w:name w:val="Block Text"/>
    <w:basedOn w:val="Normal"/>
    <w:rsid w:val="00956DFD"/>
    <w:pPr>
      <w:overflowPunct w:val="0"/>
      <w:autoSpaceDE w:val="0"/>
      <w:autoSpaceDN w:val="0"/>
      <w:adjustRightInd w:val="0"/>
      <w:spacing w:after="0" w:line="480" w:lineRule="auto"/>
      <w:ind w:left="567" w:right="333"/>
      <w:textAlignment w:val="baseline"/>
    </w:pPr>
    <w:rPr>
      <w:rFonts w:ascii="Times New Roman" w:eastAsia="Malgun Gothic" w:hAnsi="Times New Roman" w:cs="Times New Roman"/>
      <w:sz w:val="24"/>
      <w:szCs w:val="20"/>
    </w:rPr>
  </w:style>
  <w:style w:type="paragraph" w:styleId="EndnoteText">
    <w:name w:val="endnote text"/>
    <w:basedOn w:val="Normal"/>
    <w:link w:val="EndnoteTextChar"/>
    <w:semiHidden/>
    <w:rsid w:val="00956DFD"/>
    <w:pPr>
      <w:overflowPunct w:val="0"/>
      <w:autoSpaceDE w:val="0"/>
      <w:autoSpaceDN w:val="0"/>
      <w:adjustRightInd w:val="0"/>
      <w:spacing w:after="0" w:line="240" w:lineRule="auto"/>
      <w:textAlignment w:val="baseline"/>
    </w:pPr>
    <w:rPr>
      <w:rFonts w:ascii="Times New Roman" w:eastAsia="Malgun Gothic" w:hAnsi="Times New Roman" w:cs="Times New Roman"/>
      <w:sz w:val="20"/>
      <w:szCs w:val="20"/>
    </w:rPr>
  </w:style>
  <w:style w:type="character" w:customStyle="1" w:styleId="EndnoteTextChar">
    <w:name w:val="Endnote Text Char"/>
    <w:basedOn w:val="DefaultParagraphFont"/>
    <w:link w:val="EndnoteText"/>
    <w:semiHidden/>
    <w:rsid w:val="00956DFD"/>
    <w:rPr>
      <w:rFonts w:ascii="Times New Roman" w:eastAsia="Malgun Gothic" w:hAnsi="Times New Roman" w:cs="Times New Roman"/>
      <w:sz w:val="20"/>
      <w:szCs w:val="20"/>
    </w:rPr>
  </w:style>
  <w:style w:type="character" w:styleId="EndnoteReference">
    <w:name w:val="endnote reference"/>
    <w:semiHidden/>
    <w:rsid w:val="00956DFD"/>
    <w:rPr>
      <w:vertAlign w:val="superscript"/>
    </w:rPr>
  </w:style>
  <w:style w:type="paragraph" w:styleId="BodyText2">
    <w:name w:val="Body Text 2"/>
    <w:basedOn w:val="Normal"/>
    <w:link w:val="BodyText2Char"/>
    <w:rsid w:val="00956DFD"/>
    <w:pPr>
      <w:overflowPunct w:val="0"/>
      <w:autoSpaceDE w:val="0"/>
      <w:autoSpaceDN w:val="0"/>
      <w:adjustRightInd w:val="0"/>
      <w:spacing w:before="240" w:after="0" w:line="480" w:lineRule="auto"/>
      <w:ind w:firstLine="720"/>
      <w:jc w:val="both"/>
      <w:textAlignment w:val="baseline"/>
    </w:pPr>
    <w:rPr>
      <w:rFonts w:ascii="Times New Roman" w:eastAsia="Malgun Gothic" w:hAnsi="Times New Roman" w:cs="Times New Roman"/>
      <w:sz w:val="24"/>
      <w:szCs w:val="20"/>
    </w:rPr>
  </w:style>
  <w:style w:type="character" w:customStyle="1" w:styleId="BodyText2Char">
    <w:name w:val="Body Text 2 Char"/>
    <w:basedOn w:val="DefaultParagraphFont"/>
    <w:link w:val="BodyText2"/>
    <w:rsid w:val="00956DFD"/>
    <w:rPr>
      <w:rFonts w:ascii="Times New Roman" w:eastAsia="Malgun Gothic" w:hAnsi="Times New Roman" w:cs="Times New Roman"/>
      <w:sz w:val="24"/>
      <w:szCs w:val="20"/>
    </w:rPr>
  </w:style>
  <w:style w:type="paragraph" w:styleId="BodyTextIndent2">
    <w:name w:val="Body Text Indent 2"/>
    <w:basedOn w:val="Normal"/>
    <w:link w:val="BodyTextIndent2Char"/>
    <w:rsid w:val="00956DFD"/>
    <w:pPr>
      <w:overflowPunct w:val="0"/>
      <w:autoSpaceDE w:val="0"/>
      <w:autoSpaceDN w:val="0"/>
      <w:adjustRightInd w:val="0"/>
      <w:spacing w:after="0" w:line="480" w:lineRule="auto"/>
      <w:ind w:firstLine="720"/>
      <w:textAlignment w:val="baseline"/>
    </w:pPr>
    <w:rPr>
      <w:rFonts w:ascii="Times New Roman" w:eastAsia="Malgun Gothic" w:hAnsi="Times New Roman" w:cs="Times New Roman"/>
      <w:sz w:val="24"/>
      <w:szCs w:val="20"/>
    </w:rPr>
  </w:style>
  <w:style w:type="character" w:customStyle="1" w:styleId="BodyTextIndent2Char">
    <w:name w:val="Body Text Indent 2 Char"/>
    <w:basedOn w:val="DefaultParagraphFont"/>
    <w:link w:val="BodyTextIndent2"/>
    <w:rsid w:val="00956DFD"/>
    <w:rPr>
      <w:rFonts w:ascii="Times New Roman" w:eastAsia="Malgun Gothic" w:hAnsi="Times New Roman" w:cs="Times New Roman"/>
      <w:sz w:val="24"/>
      <w:szCs w:val="20"/>
    </w:rPr>
  </w:style>
  <w:style w:type="paragraph" w:styleId="BodyText">
    <w:name w:val="Body Text"/>
    <w:basedOn w:val="Normal"/>
    <w:link w:val="BodyTextChar"/>
    <w:semiHidden/>
    <w:rsid w:val="00956DFD"/>
    <w:pPr>
      <w:overflowPunct w:val="0"/>
      <w:autoSpaceDE w:val="0"/>
      <w:autoSpaceDN w:val="0"/>
      <w:adjustRightInd w:val="0"/>
      <w:spacing w:after="0" w:line="240" w:lineRule="auto"/>
      <w:jc w:val="both"/>
      <w:textAlignment w:val="baseline"/>
    </w:pPr>
    <w:rPr>
      <w:rFonts w:ascii="Times New Roman" w:eastAsia="Malgun Gothic" w:hAnsi="Times New Roman" w:cs="Times New Roman"/>
      <w:sz w:val="28"/>
      <w:szCs w:val="20"/>
    </w:rPr>
  </w:style>
  <w:style w:type="character" w:customStyle="1" w:styleId="BodyTextChar">
    <w:name w:val="Body Text Char"/>
    <w:basedOn w:val="DefaultParagraphFont"/>
    <w:link w:val="BodyText"/>
    <w:semiHidden/>
    <w:rsid w:val="00956DFD"/>
    <w:rPr>
      <w:rFonts w:ascii="Times New Roman" w:eastAsia="Malgun Gothic" w:hAnsi="Times New Roman" w:cs="Times New Roman"/>
      <w:sz w:val="28"/>
      <w:szCs w:val="20"/>
    </w:rPr>
  </w:style>
  <w:style w:type="paragraph" w:styleId="FootnoteText">
    <w:name w:val="footnote text"/>
    <w:basedOn w:val="Normal"/>
    <w:link w:val="FootnoteTextChar"/>
    <w:uiPriority w:val="99"/>
    <w:semiHidden/>
    <w:unhideWhenUsed/>
    <w:rsid w:val="00956DFD"/>
    <w:pPr>
      <w:overflowPunct w:val="0"/>
      <w:autoSpaceDE w:val="0"/>
      <w:autoSpaceDN w:val="0"/>
      <w:adjustRightInd w:val="0"/>
      <w:spacing w:after="0" w:line="240" w:lineRule="auto"/>
      <w:textAlignment w:val="baseline"/>
    </w:pPr>
    <w:rPr>
      <w:rFonts w:ascii="Times New Roman" w:eastAsia="Malgun Gothic" w:hAnsi="Times New Roman" w:cs="Times New Roman"/>
      <w:sz w:val="20"/>
      <w:szCs w:val="20"/>
    </w:rPr>
  </w:style>
  <w:style w:type="character" w:customStyle="1" w:styleId="FootnoteTextChar">
    <w:name w:val="Footnote Text Char"/>
    <w:basedOn w:val="DefaultParagraphFont"/>
    <w:link w:val="FootnoteText"/>
    <w:uiPriority w:val="99"/>
    <w:semiHidden/>
    <w:rsid w:val="00956DFD"/>
    <w:rPr>
      <w:rFonts w:ascii="Times New Roman" w:eastAsia="Malgun Gothic" w:hAnsi="Times New Roman" w:cs="Times New Roman"/>
      <w:sz w:val="20"/>
      <w:szCs w:val="20"/>
    </w:rPr>
  </w:style>
  <w:style w:type="character" w:styleId="FootnoteReference">
    <w:name w:val="footnote reference"/>
    <w:uiPriority w:val="99"/>
    <w:semiHidden/>
    <w:unhideWhenUsed/>
    <w:rsid w:val="00956DFD"/>
    <w:rPr>
      <w:vertAlign w:val="superscript"/>
    </w:rPr>
  </w:style>
  <w:style w:type="paragraph" w:styleId="Header">
    <w:name w:val="header"/>
    <w:basedOn w:val="Normal"/>
    <w:link w:val="HeaderChar"/>
    <w:uiPriority w:val="99"/>
    <w:unhideWhenUsed/>
    <w:rsid w:val="00956DFD"/>
    <w:pPr>
      <w:tabs>
        <w:tab w:val="center" w:pos="4680"/>
        <w:tab w:val="right" w:pos="9360"/>
      </w:tabs>
      <w:overflowPunct w:val="0"/>
      <w:autoSpaceDE w:val="0"/>
      <w:autoSpaceDN w:val="0"/>
      <w:adjustRightInd w:val="0"/>
      <w:spacing w:after="0" w:line="240" w:lineRule="auto"/>
      <w:textAlignment w:val="baseline"/>
    </w:pPr>
    <w:rPr>
      <w:rFonts w:ascii="Times New Roman" w:eastAsia="Malgun Gothic" w:hAnsi="Times New Roman" w:cs="Times New Roman"/>
      <w:sz w:val="20"/>
      <w:szCs w:val="20"/>
    </w:rPr>
  </w:style>
  <w:style w:type="character" w:customStyle="1" w:styleId="HeaderChar">
    <w:name w:val="Header Char"/>
    <w:basedOn w:val="DefaultParagraphFont"/>
    <w:link w:val="Header"/>
    <w:uiPriority w:val="99"/>
    <w:rsid w:val="00956DFD"/>
    <w:rPr>
      <w:rFonts w:ascii="Times New Roman" w:eastAsia="Malgun Gothic" w:hAnsi="Times New Roman" w:cs="Times New Roman"/>
      <w:sz w:val="20"/>
      <w:szCs w:val="20"/>
    </w:rPr>
  </w:style>
  <w:style w:type="paragraph" w:styleId="Footer">
    <w:name w:val="footer"/>
    <w:basedOn w:val="Normal"/>
    <w:link w:val="FooterChar"/>
    <w:uiPriority w:val="99"/>
    <w:unhideWhenUsed/>
    <w:rsid w:val="00956DFD"/>
    <w:pPr>
      <w:tabs>
        <w:tab w:val="center" w:pos="4680"/>
        <w:tab w:val="right" w:pos="9360"/>
      </w:tabs>
      <w:overflowPunct w:val="0"/>
      <w:autoSpaceDE w:val="0"/>
      <w:autoSpaceDN w:val="0"/>
      <w:adjustRightInd w:val="0"/>
      <w:spacing w:after="0" w:line="240" w:lineRule="auto"/>
      <w:textAlignment w:val="baseline"/>
    </w:pPr>
    <w:rPr>
      <w:rFonts w:ascii="Times New Roman" w:eastAsia="Malgun Gothic" w:hAnsi="Times New Roman" w:cs="Times New Roman"/>
      <w:sz w:val="20"/>
      <w:szCs w:val="20"/>
    </w:rPr>
  </w:style>
  <w:style w:type="character" w:customStyle="1" w:styleId="FooterChar">
    <w:name w:val="Footer Char"/>
    <w:basedOn w:val="DefaultParagraphFont"/>
    <w:link w:val="Footer"/>
    <w:uiPriority w:val="99"/>
    <w:rsid w:val="00956DFD"/>
    <w:rPr>
      <w:rFonts w:ascii="Times New Roman" w:eastAsia="Malgun Gothic" w:hAnsi="Times New Roman" w:cs="Times New Roman"/>
      <w:sz w:val="20"/>
      <w:szCs w:val="20"/>
    </w:rPr>
  </w:style>
  <w:style w:type="character" w:styleId="Hyperlink">
    <w:name w:val="Hyperlink"/>
    <w:uiPriority w:val="99"/>
    <w:unhideWhenUsed/>
    <w:rsid w:val="00956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61114">
      <w:bodyDiv w:val="1"/>
      <w:marLeft w:val="0"/>
      <w:marRight w:val="0"/>
      <w:marTop w:val="0"/>
      <w:marBottom w:val="0"/>
      <w:divBdr>
        <w:top w:val="none" w:sz="0" w:space="0" w:color="auto"/>
        <w:left w:val="none" w:sz="0" w:space="0" w:color="auto"/>
        <w:bottom w:val="none" w:sz="0" w:space="0" w:color="auto"/>
        <w:right w:val="none" w:sz="0" w:space="0" w:color="auto"/>
      </w:divBdr>
      <w:divsChild>
        <w:div w:id="1475830863">
          <w:marLeft w:val="360"/>
          <w:marRight w:val="0"/>
          <w:marTop w:val="200"/>
          <w:marBottom w:val="0"/>
          <w:divBdr>
            <w:top w:val="none" w:sz="0" w:space="0" w:color="auto"/>
            <w:left w:val="none" w:sz="0" w:space="0" w:color="auto"/>
            <w:bottom w:val="none" w:sz="0" w:space="0" w:color="auto"/>
            <w:right w:val="none" w:sz="0" w:space="0" w:color="auto"/>
          </w:divBdr>
        </w:div>
        <w:div w:id="2049258440">
          <w:marLeft w:val="360"/>
          <w:marRight w:val="0"/>
          <w:marTop w:val="200"/>
          <w:marBottom w:val="0"/>
          <w:divBdr>
            <w:top w:val="none" w:sz="0" w:space="0" w:color="auto"/>
            <w:left w:val="none" w:sz="0" w:space="0" w:color="auto"/>
            <w:bottom w:val="none" w:sz="0" w:space="0" w:color="auto"/>
            <w:right w:val="none" w:sz="0" w:space="0" w:color="auto"/>
          </w:divBdr>
        </w:div>
        <w:div w:id="1498811945">
          <w:marLeft w:val="360"/>
          <w:marRight w:val="0"/>
          <w:marTop w:val="200"/>
          <w:marBottom w:val="0"/>
          <w:divBdr>
            <w:top w:val="none" w:sz="0" w:space="0" w:color="auto"/>
            <w:left w:val="none" w:sz="0" w:space="0" w:color="auto"/>
            <w:bottom w:val="none" w:sz="0" w:space="0" w:color="auto"/>
            <w:right w:val="none" w:sz="0" w:space="0" w:color="auto"/>
          </w:divBdr>
        </w:div>
        <w:div w:id="1890262830">
          <w:marLeft w:val="360"/>
          <w:marRight w:val="0"/>
          <w:marTop w:val="200"/>
          <w:marBottom w:val="0"/>
          <w:divBdr>
            <w:top w:val="none" w:sz="0" w:space="0" w:color="auto"/>
            <w:left w:val="none" w:sz="0" w:space="0" w:color="auto"/>
            <w:bottom w:val="none" w:sz="0" w:space="0" w:color="auto"/>
            <w:right w:val="none" w:sz="0" w:space="0" w:color="auto"/>
          </w:divBdr>
        </w:div>
        <w:div w:id="643582015">
          <w:marLeft w:val="360"/>
          <w:marRight w:val="0"/>
          <w:marTop w:val="200"/>
          <w:marBottom w:val="0"/>
          <w:divBdr>
            <w:top w:val="none" w:sz="0" w:space="0" w:color="auto"/>
            <w:left w:val="none" w:sz="0" w:space="0" w:color="auto"/>
            <w:bottom w:val="none" w:sz="0" w:space="0" w:color="auto"/>
            <w:right w:val="none" w:sz="0" w:space="0" w:color="auto"/>
          </w:divBdr>
        </w:div>
        <w:div w:id="1820540020">
          <w:marLeft w:val="360"/>
          <w:marRight w:val="0"/>
          <w:marTop w:val="200"/>
          <w:marBottom w:val="0"/>
          <w:divBdr>
            <w:top w:val="none" w:sz="0" w:space="0" w:color="auto"/>
            <w:left w:val="none" w:sz="0" w:space="0" w:color="auto"/>
            <w:bottom w:val="none" w:sz="0" w:space="0" w:color="auto"/>
            <w:right w:val="none" w:sz="0" w:space="0" w:color="auto"/>
          </w:divBdr>
        </w:div>
        <w:div w:id="1001854668">
          <w:marLeft w:val="360"/>
          <w:marRight w:val="0"/>
          <w:marTop w:val="200"/>
          <w:marBottom w:val="0"/>
          <w:divBdr>
            <w:top w:val="none" w:sz="0" w:space="0" w:color="auto"/>
            <w:left w:val="none" w:sz="0" w:space="0" w:color="auto"/>
            <w:bottom w:val="none" w:sz="0" w:space="0" w:color="auto"/>
            <w:right w:val="none" w:sz="0" w:space="0" w:color="auto"/>
          </w:divBdr>
        </w:div>
        <w:div w:id="19237619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patheos.com/blogs/monkeymind/2012/03/zen-teacher-alan-senauke-on-race-and-buddhism.html" TargetMode="External"/><Relationship Id="rId2" Type="http://schemas.openxmlformats.org/officeDocument/2006/relationships/hyperlink" Target="https://en.wikipedia.org/wiki/Demographics_of_Denver" TargetMode="External"/><Relationship Id="rId1" Type="http://schemas.openxmlformats.org/officeDocument/2006/relationships/hyperlink" Target="http://censusviewer.com/city/CO/Den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20</Pages>
  <Words>5236</Words>
  <Characters>29850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35016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17</cp:revision>
  <dcterms:created xsi:type="dcterms:W3CDTF">2014-01-29T21:40:00Z</dcterms:created>
  <dcterms:modified xsi:type="dcterms:W3CDTF">2016-12-30T01:23:00Z</dcterms:modified>
</cp:coreProperties>
</file>