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5" w:rsidRDefault="00187E3A">
      <w:r>
        <w:t>Andrew Stinnett</w:t>
      </w:r>
    </w:p>
    <w:p w:rsidR="00187E3A" w:rsidRDefault="00187E3A">
      <w:r>
        <w:t>Profile of a Christian Theologian</w:t>
      </w:r>
    </w:p>
    <w:p w:rsidR="00187E3A" w:rsidRDefault="00187E3A">
      <w:r>
        <w:t>Karl Rahner</w:t>
      </w:r>
    </w:p>
    <w:p w:rsidR="00187E3A" w:rsidRDefault="00187E3A"/>
    <w:p w:rsidR="00187E3A" w:rsidRPr="00E83D80" w:rsidRDefault="00E83D80">
      <w:pPr>
        <w:rPr>
          <w:b/>
        </w:rPr>
      </w:pPr>
      <w:r w:rsidRPr="00E83D80">
        <w:rPr>
          <w:b/>
        </w:rPr>
        <w:t>Biography</w:t>
      </w:r>
    </w:p>
    <w:p w:rsidR="00187E3A" w:rsidRDefault="00187E3A"/>
    <w:p w:rsidR="00D50CD8" w:rsidRDefault="00187E3A" w:rsidP="00D50CD8">
      <w:pPr>
        <w:spacing w:line="480" w:lineRule="auto"/>
        <w:ind w:firstLine="720"/>
      </w:pPr>
      <w:r>
        <w:t>Karl Rahner was born in Freiburg in Breisgau, Germany in 1904</w:t>
      </w:r>
      <w:r w:rsidR="00A544DF">
        <w:t>, into a middle class family,</w:t>
      </w:r>
      <w:r w:rsidR="00362A03">
        <w:t xml:space="preserve"> </w:t>
      </w:r>
      <w:r w:rsidR="00A544DF">
        <w:t>the fourth of seven children.</w:t>
      </w:r>
      <w:r w:rsidR="00A544DF">
        <w:rPr>
          <w:rStyle w:val="EndnoteReference"/>
        </w:rPr>
        <w:endnoteReference w:id="1"/>
      </w:r>
      <w:r w:rsidR="00362A03">
        <w:t xml:space="preserve">  Rahner described his family as a normal Catholic family and his childhood as unremarkable.</w:t>
      </w:r>
      <w:r w:rsidR="00362A03">
        <w:rPr>
          <w:rStyle w:val="EndnoteReference"/>
        </w:rPr>
        <w:endnoteReference w:id="2"/>
      </w:r>
      <w:r w:rsidR="002A4E70">
        <w:t xml:space="preserve">  Af</w:t>
      </w:r>
      <w:r w:rsidR="00362A03">
        <w:t xml:space="preserve">ter graduating from secondary school </w:t>
      </w:r>
      <w:r w:rsidR="002A4E70">
        <w:t>at age 18 in 1922 Rahner enter</w:t>
      </w:r>
      <w:r w:rsidR="00782B09">
        <w:t>ed</w:t>
      </w:r>
      <w:r w:rsidR="002A4E70">
        <w:t xml:space="preserve"> the</w:t>
      </w:r>
      <w:r w:rsidR="00C117BC">
        <w:t xml:space="preserve"> Roman Catholic religious order of the</w:t>
      </w:r>
      <w:r w:rsidR="002A4E70">
        <w:t xml:space="preserve"> Society of Jesus (the Jesuits</w:t>
      </w:r>
      <w:r w:rsidR="001B5CF9">
        <w:t>) following</w:t>
      </w:r>
      <w:r w:rsidR="002A4E70">
        <w:t xml:space="preserve"> his brother Hugo who had entered the community three years earlier.</w:t>
      </w:r>
      <w:r w:rsidR="002A4E70">
        <w:rPr>
          <w:rStyle w:val="EndnoteReference"/>
        </w:rPr>
        <w:endnoteReference w:id="3"/>
      </w:r>
      <w:r w:rsidR="002A4E70">
        <w:t xml:space="preserve">  </w:t>
      </w:r>
      <w:r w:rsidR="006E6946">
        <w:t>Developing a fluency in Latin</w:t>
      </w:r>
      <w:r w:rsidR="00C117BC">
        <w:t>,</w:t>
      </w:r>
      <w:r w:rsidR="006E6946">
        <w:t xml:space="preserve"> Rahner would go on to teach Latin for two years</w:t>
      </w:r>
      <w:r w:rsidR="00C117BC">
        <w:t xml:space="preserve"> from 1927 to 1929</w:t>
      </w:r>
      <w:r w:rsidR="006E6946">
        <w:t xml:space="preserve"> during a break between his study of philosophy and theology.</w:t>
      </w:r>
      <w:r w:rsidR="006E6946">
        <w:rPr>
          <w:rStyle w:val="EndnoteReference"/>
        </w:rPr>
        <w:endnoteReference w:id="4"/>
      </w:r>
      <w:r w:rsidR="006E6946">
        <w:t xml:space="preserve">  </w:t>
      </w:r>
    </w:p>
    <w:p w:rsidR="00187E3A" w:rsidRDefault="00C117BC" w:rsidP="00D50CD8">
      <w:pPr>
        <w:spacing w:line="480" w:lineRule="auto"/>
        <w:ind w:firstLine="720"/>
      </w:pPr>
      <w:r>
        <w:t xml:space="preserve">Rahner would be ordained as Jesuit Priest in 1932 and would </w:t>
      </w:r>
      <w:r w:rsidR="004451B2">
        <w:t xml:space="preserve">go on to </w:t>
      </w:r>
      <w:r>
        <w:t xml:space="preserve">earn his doctorate degree </w:t>
      </w:r>
      <w:r w:rsidR="004451B2">
        <w:t>with some struggle as his first dissertation was rejected.</w:t>
      </w:r>
      <w:r w:rsidR="004451B2">
        <w:rPr>
          <w:rStyle w:val="EndnoteReference"/>
        </w:rPr>
        <w:endnoteReference w:id="5"/>
      </w:r>
      <w:r w:rsidR="004451B2">
        <w:t xml:space="preserve">  In 1937 Rahner would begin his thirty-four year career as a professor of theology during the </w:t>
      </w:r>
      <w:r w:rsidR="001B5CF9">
        <w:t>winter</w:t>
      </w:r>
      <w:r w:rsidR="004451B2">
        <w:t xml:space="preserve"> semester at</w:t>
      </w:r>
      <w:r w:rsidR="00782B09">
        <w:t xml:space="preserve"> the University of</w:t>
      </w:r>
      <w:r w:rsidR="004451B2">
        <w:t xml:space="preserve"> Innsbruck.</w:t>
      </w:r>
      <w:r w:rsidR="004451B2">
        <w:rPr>
          <w:rStyle w:val="EndnoteReference"/>
        </w:rPr>
        <w:endnoteReference w:id="6"/>
      </w:r>
      <w:r w:rsidR="004451B2">
        <w:t xml:space="preserve">  </w:t>
      </w:r>
      <w:r w:rsidR="00D50CD8">
        <w:t xml:space="preserve">He would only spend one year at Innsbruck due to a Nazi occupation of the university in which </w:t>
      </w:r>
      <w:r w:rsidR="00FD400B">
        <w:t>Rahner would be expelled</w:t>
      </w:r>
      <w:r w:rsidR="00D50CD8">
        <w:t>.</w:t>
      </w:r>
      <w:r w:rsidR="00D50CD8">
        <w:rPr>
          <w:rStyle w:val="EndnoteReference"/>
        </w:rPr>
        <w:endnoteReference w:id="7"/>
      </w:r>
      <w:r w:rsidR="00FD400B">
        <w:t xml:space="preserve">  He would move to Vienna where he would spend the </w:t>
      </w:r>
      <w:r w:rsidR="00227F98">
        <w:t xml:space="preserve">next five </w:t>
      </w:r>
      <w:r w:rsidR="001B5CF9">
        <w:t>years serving</w:t>
      </w:r>
      <w:r w:rsidR="00FD400B">
        <w:t xml:space="preserve"> as a pastor and a teacher</w:t>
      </w:r>
      <w:r w:rsidR="00227F98">
        <w:t xml:space="preserve"> as the Second World War ravaged </w:t>
      </w:r>
      <w:r w:rsidR="001B5CF9">
        <w:t>Europe.</w:t>
      </w:r>
      <w:r w:rsidR="00FD400B">
        <w:rPr>
          <w:rStyle w:val="EndnoteReference"/>
        </w:rPr>
        <w:endnoteReference w:id="8"/>
      </w:r>
      <w:r w:rsidR="00FD400B">
        <w:t xml:space="preserve">  </w:t>
      </w:r>
      <w:r w:rsidR="00700DF8">
        <w:t xml:space="preserve">As a parish priest Rahner would provide pastoral </w:t>
      </w:r>
      <w:r w:rsidR="001B5CF9">
        <w:t>care and</w:t>
      </w:r>
      <w:r w:rsidR="00700DF8">
        <w:t xml:space="preserve"> help</w:t>
      </w:r>
      <w:r w:rsidR="00533ED6">
        <w:t>ed</w:t>
      </w:r>
      <w:r w:rsidR="00700DF8">
        <w:t xml:space="preserve"> to obtain food for the needy.</w:t>
      </w:r>
      <w:r w:rsidR="00700DF8">
        <w:rPr>
          <w:rStyle w:val="EndnoteReference"/>
        </w:rPr>
        <w:endnoteReference w:id="9"/>
      </w:r>
    </w:p>
    <w:p w:rsidR="00FD400B" w:rsidRDefault="00B64528" w:rsidP="00D50CD8">
      <w:pPr>
        <w:spacing w:line="480" w:lineRule="auto"/>
        <w:ind w:firstLine="720"/>
      </w:pPr>
      <w:r>
        <w:t xml:space="preserve">After the war Rahner would confront his own lack of </w:t>
      </w:r>
      <w:r w:rsidR="00B8289C">
        <w:t xml:space="preserve">valor </w:t>
      </w:r>
      <w:r>
        <w:t>spending the time in the relative safety of Vienna and would question why Pope Pius XII and the Church were not more vocal about the war.</w:t>
      </w:r>
      <w:r w:rsidR="00B8289C">
        <w:rPr>
          <w:rStyle w:val="EndnoteReference"/>
        </w:rPr>
        <w:endnoteReference w:id="10"/>
      </w:r>
      <w:r>
        <w:t xml:space="preserve">   </w:t>
      </w:r>
      <w:r w:rsidR="00216C50">
        <w:t>Rahner would go on to be one of the most important Christian writers and theologians of the twentieth century and although he was a prolific writer he would on no account neglect his pastoral duties.</w:t>
      </w:r>
      <w:r w:rsidR="00216C50">
        <w:rPr>
          <w:rStyle w:val="EndnoteReference"/>
        </w:rPr>
        <w:endnoteReference w:id="11"/>
      </w:r>
      <w:r w:rsidR="00216C50">
        <w:t xml:space="preserve">  Rahner had ongoing conflicts with the Vatican over </w:t>
      </w:r>
      <w:r w:rsidR="00216C50">
        <w:lastRenderedPageBreak/>
        <w:t>“eucharistic (sic)</w:t>
      </w:r>
      <w:r w:rsidR="007E05CE">
        <w:rPr>
          <w:rStyle w:val="EndnoteReference"/>
        </w:rPr>
        <w:endnoteReference w:id="12"/>
      </w:r>
      <w:r w:rsidR="00216C50">
        <w:t xml:space="preserve"> issues</w:t>
      </w:r>
      <w:r w:rsidR="007E05CE">
        <w:t xml:space="preserve"> and Mariology” for which he was censored in 1962.</w:t>
      </w:r>
      <w:r w:rsidR="007E05CE">
        <w:rPr>
          <w:rStyle w:val="EndnoteReference"/>
        </w:rPr>
        <w:endnoteReference w:id="13"/>
      </w:r>
      <w:r w:rsidR="007E05CE">
        <w:t xml:space="preserve">  Rahner would continue his “worldwide lecturing, writing and pastoral activity</w:t>
      </w:r>
      <w:r w:rsidR="001B5CF9">
        <w:t>” until</w:t>
      </w:r>
      <w:r w:rsidR="007E05CE">
        <w:t xml:space="preserve"> his death in 1984 in Innsbruck Austria.</w:t>
      </w:r>
      <w:r w:rsidR="007E05CE">
        <w:rPr>
          <w:rStyle w:val="EndnoteReference"/>
        </w:rPr>
        <w:endnoteReference w:id="14"/>
      </w:r>
      <w:r w:rsidR="007E05CE">
        <w:t xml:space="preserve">  </w:t>
      </w:r>
    </w:p>
    <w:p w:rsidR="007E05CE" w:rsidRPr="00E83D80" w:rsidRDefault="007E05CE" w:rsidP="007E05CE">
      <w:pPr>
        <w:spacing w:line="480" w:lineRule="auto"/>
        <w:rPr>
          <w:b/>
        </w:rPr>
      </w:pPr>
      <w:r w:rsidRPr="00E83D80">
        <w:rPr>
          <w:b/>
        </w:rPr>
        <w:t>Theology Themes and Contr</w:t>
      </w:r>
      <w:r w:rsidR="00E83D80">
        <w:rPr>
          <w:b/>
        </w:rPr>
        <w:t>ibutions</w:t>
      </w:r>
    </w:p>
    <w:p w:rsidR="00F40B0B" w:rsidRDefault="007E05CE" w:rsidP="00E83D80">
      <w:pPr>
        <w:spacing w:line="480" w:lineRule="auto"/>
      </w:pPr>
      <w:r>
        <w:tab/>
      </w:r>
      <w:r w:rsidR="00E83D80">
        <w:t xml:space="preserve">Rahner’s basic thesis revolves around self-communication with God.  </w:t>
      </w:r>
      <w:r w:rsidR="004B6331">
        <w:t xml:space="preserve">He says </w:t>
      </w:r>
      <w:r w:rsidR="00E83D80">
        <w:t xml:space="preserve">God desires a close personal relationship </w:t>
      </w:r>
      <w:r w:rsidR="004B6331">
        <w:t xml:space="preserve">with all </w:t>
      </w:r>
      <w:r w:rsidR="001B5CF9">
        <w:t>humans</w:t>
      </w:r>
      <w:r w:rsidR="00AC5683">
        <w:t>,</w:t>
      </w:r>
      <w:r w:rsidR="004B6331">
        <w:t xml:space="preserve"> invites them to be a part of the divine</w:t>
      </w:r>
      <w:r w:rsidR="00AC5683">
        <w:t>,</w:t>
      </w:r>
      <w:r w:rsidR="004B6331">
        <w:t xml:space="preserve"> </w:t>
      </w:r>
      <w:r w:rsidR="00AC5683">
        <w:t>and extends this</w:t>
      </w:r>
      <w:r w:rsidR="004B6331">
        <w:t xml:space="preserve"> offer to</w:t>
      </w:r>
      <w:r w:rsidR="00782B09">
        <w:t xml:space="preserve"> all people</w:t>
      </w:r>
      <w:r w:rsidR="00AC5683">
        <w:t>,</w:t>
      </w:r>
      <w:r w:rsidR="004B6331">
        <w:t xml:space="preserve"> not just Christians.</w:t>
      </w:r>
      <w:r w:rsidR="004B6331">
        <w:rPr>
          <w:rStyle w:val="EndnoteReference"/>
        </w:rPr>
        <w:endnoteReference w:id="15"/>
      </w:r>
      <w:r w:rsidR="004B6331">
        <w:t xml:space="preserve">  Since humans have free will they may accept this offer or reject it as they so desire.</w:t>
      </w:r>
      <w:r w:rsidR="004B6331">
        <w:rPr>
          <w:rStyle w:val="EndnoteReference"/>
        </w:rPr>
        <w:endnoteReference w:id="16"/>
      </w:r>
      <w:r w:rsidR="004B6331">
        <w:t xml:space="preserve">  </w:t>
      </w:r>
      <w:r w:rsidR="006770D1">
        <w:t>Vital to Rahner’s thesis is his belief that mysticism, which is open to everyone not just priests, is essential to making the connection with God.</w:t>
      </w:r>
      <w:r w:rsidR="006770D1">
        <w:rPr>
          <w:rStyle w:val="EndnoteReference"/>
        </w:rPr>
        <w:endnoteReference w:id="17"/>
      </w:r>
      <w:r w:rsidR="006770D1">
        <w:t xml:space="preserve">  </w:t>
      </w:r>
      <w:r w:rsidR="00F40B0B">
        <w:t>Harvey E</w:t>
      </w:r>
      <w:r w:rsidR="00BC643C">
        <w:t xml:space="preserve">gan says </w:t>
      </w:r>
      <w:r w:rsidR="001B5CF9">
        <w:t>that Rahner</w:t>
      </w:r>
      <w:r w:rsidR="00BC643C">
        <w:t xml:space="preserve"> has a </w:t>
      </w:r>
      <w:r w:rsidR="001B5CF9">
        <w:t>sapiential theology</w:t>
      </w:r>
      <w:r w:rsidR="00BC643C">
        <w:t xml:space="preserve"> aimed at discovering wisdom and truth from a practical Christian point of view rather than coming from a scholarly discourse.</w:t>
      </w:r>
      <w:r w:rsidR="00BC643C">
        <w:rPr>
          <w:rStyle w:val="EndnoteReference"/>
        </w:rPr>
        <w:endnoteReference w:id="18"/>
      </w:r>
      <w:r w:rsidR="00BC643C">
        <w:t xml:space="preserve">  </w:t>
      </w:r>
      <w:r w:rsidR="00F40B0B">
        <w:t>Rahner refers to himself as a “theological dilettante” rather than an “academic scholar”.</w:t>
      </w:r>
      <w:r w:rsidR="00F40B0B">
        <w:rPr>
          <w:rStyle w:val="EndnoteReference"/>
        </w:rPr>
        <w:endnoteReference w:id="19"/>
      </w:r>
      <w:r w:rsidR="00F40B0B">
        <w:t>Although Rahner’s mother worried that he would become “proud”, throughout his distinguished career</w:t>
      </w:r>
      <w:r w:rsidR="00782B09">
        <w:t xml:space="preserve"> he referred to himself</w:t>
      </w:r>
      <w:r w:rsidR="00F40B0B">
        <w:t xml:space="preserve"> “as a man, a Christian and a priest”.</w:t>
      </w:r>
      <w:r w:rsidR="00F40B0B">
        <w:rPr>
          <w:rStyle w:val="EndnoteReference"/>
        </w:rPr>
        <w:endnoteReference w:id="20"/>
      </w:r>
    </w:p>
    <w:p w:rsidR="00FC7A56" w:rsidRDefault="00FC7A56" w:rsidP="00E83D80">
      <w:pPr>
        <w:spacing w:line="480" w:lineRule="auto"/>
      </w:pPr>
      <w:r>
        <w:tab/>
        <w:t xml:space="preserve">One of Rahner’s major accomplishments was to put the theology of the Catholic </w:t>
      </w:r>
      <w:r w:rsidR="001B5CF9">
        <w:t>Church</w:t>
      </w:r>
      <w:r>
        <w:t xml:space="preserve"> on a “transcendental footing”.</w:t>
      </w:r>
      <w:r>
        <w:rPr>
          <w:rStyle w:val="EndnoteReference"/>
        </w:rPr>
        <w:endnoteReference w:id="21"/>
      </w:r>
      <w:r>
        <w:t xml:space="preserve">  </w:t>
      </w:r>
      <w:r w:rsidR="00E42C64">
        <w:t xml:space="preserve">Rahner believed that all theological queries had to be viewed </w:t>
      </w:r>
      <w:r w:rsidR="001B5CF9">
        <w:t>through transcendental</w:t>
      </w:r>
      <w:r w:rsidR="00E42C64">
        <w:t xml:space="preserve"> lenses and that “theological anthropology” must also be “transcendent anthropology”.</w:t>
      </w:r>
      <w:r w:rsidR="00E42C64">
        <w:rPr>
          <w:rStyle w:val="EndnoteReference"/>
        </w:rPr>
        <w:endnoteReference w:id="22"/>
      </w:r>
      <w:r w:rsidR="00E42C64">
        <w:t xml:space="preserve">  </w:t>
      </w:r>
      <w:r w:rsidR="00923463">
        <w:t>Rahner was heavily influenced by patristic theology and particularly by Thomas Aqu</w:t>
      </w:r>
      <w:r w:rsidR="00CB31FF">
        <w:t>inas</w:t>
      </w:r>
      <w:r w:rsidR="001B5CF9">
        <w:t>,</w:t>
      </w:r>
      <w:r w:rsidR="00CB31FF">
        <w:t xml:space="preserve"> Kant, </w:t>
      </w:r>
      <w:r w:rsidR="001B5CF9">
        <w:t>and Hegel</w:t>
      </w:r>
      <w:r w:rsidR="00CB31FF" w:rsidRPr="00CB31FF">
        <w:t xml:space="preserve"> </w:t>
      </w:r>
      <w:r w:rsidR="00CB31FF">
        <w:t>with St. Ignatius</w:t>
      </w:r>
      <w:r w:rsidR="00995986">
        <w:t xml:space="preserve"> having</w:t>
      </w:r>
      <w:r w:rsidR="00CB31FF">
        <w:t xml:space="preserve"> the greatest impact</w:t>
      </w:r>
      <w:r w:rsidR="00923463">
        <w:t>.</w:t>
      </w:r>
      <w:r w:rsidR="00923463">
        <w:rPr>
          <w:rStyle w:val="EndnoteReference"/>
        </w:rPr>
        <w:endnoteReference w:id="23"/>
      </w:r>
      <w:r w:rsidR="00923463">
        <w:t xml:space="preserve">   </w:t>
      </w:r>
      <w:r w:rsidR="00CB31FF">
        <w:t>He was also heavily influenced by Martin Heidegger and referred to him as a “great master”.</w:t>
      </w:r>
      <w:r w:rsidR="00CB31FF">
        <w:rPr>
          <w:rStyle w:val="EndnoteReference"/>
        </w:rPr>
        <w:endnoteReference w:id="24"/>
      </w:r>
      <w:r w:rsidR="00995986">
        <w:t xml:space="preserve">  Rahner himself would argue</w:t>
      </w:r>
      <w:r w:rsidR="00CB31FF">
        <w:t xml:space="preserve"> that the theology of Ignatius </w:t>
      </w:r>
      <w:r w:rsidR="00995986">
        <w:t xml:space="preserve">was “extraordinarily profound” and his work </w:t>
      </w:r>
      <w:r w:rsidR="00995986" w:rsidRPr="00995986">
        <w:rPr>
          <w:i/>
        </w:rPr>
        <w:t>Spiritual Exercises</w:t>
      </w:r>
      <w:r w:rsidR="00995986">
        <w:rPr>
          <w:i/>
        </w:rPr>
        <w:t>,</w:t>
      </w:r>
      <w:r w:rsidR="00995986">
        <w:t xml:space="preserve"> “a masterpiece of meditations and contemplation on Christ’s life</w:t>
      </w:r>
      <w:r w:rsidR="00AC5683">
        <w:t>,</w:t>
      </w:r>
      <w:r w:rsidR="00995986">
        <w:t xml:space="preserve"> death</w:t>
      </w:r>
      <w:r w:rsidR="00AC5683">
        <w:t>,</w:t>
      </w:r>
      <w:r w:rsidR="00995986">
        <w:t xml:space="preserve"> and </w:t>
      </w:r>
      <w:r w:rsidR="00995986">
        <w:lastRenderedPageBreak/>
        <w:t xml:space="preserve">resurrection.” </w:t>
      </w:r>
      <w:r w:rsidR="00995986">
        <w:rPr>
          <w:rStyle w:val="EndnoteReference"/>
        </w:rPr>
        <w:endnoteReference w:id="25"/>
      </w:r>
      <w:r w:rsidR="00995986">
        <w:t xml:space="preserve"> He would go on to say that Ignatius</w:t>
      </w:r>
      <w:r w:rsidR="00AC5683">
        <w:t>’</w:t>
      </w:r>
      <w:r w:rsidR="00995986">
        <w:t xml:space="preserve"> influence was more important and significant to him than any of his formal education.</w:t>
      </w:r>
      <w:r w:rsidR="00995986">
        <w:rPr>
          <w:rStyle w:val="EndnoteReference"/>
        </w:rPr>
        <w:endnoteReference w:id="26"/>
      </w:r>
      <w:r w:rsidR="00995986">
        <w:t xml:space="preserve">  </w:t>
      </w:r>
    </w:p>
    <w:p w:rsidR="00995986" w:rsidRDefault="004A0387" w:rsidP="00E83D80">
      <w:pPr>
        <w:spacing w:line="480" w:lineRule="auto"/>
        <w:rPr>
          <w:b/>
        </w:rPr>
      </w:pPr>
      <w:r w:rsidRPr="004A0387">
        <w:rPr>
          <w:b/>
        </w:rPr>
        <w:t>Current Relevance</w:t>
      </w:r>
    </w:p>
    <w:p w:rsidR="004A0387" w:rsidRDefault="004A0387" w:rsidP="00E83D80">
      <w:pPr>
        <w:spacing w:line="480" w:lineRule="auto"/>
      </w:pPr>
      <w:r>
        <w:rPr>
          <w:b/>
        </w:rPr>
        <w:tab/>
      </w:r>
      <w:r w:rsidR="001B5CF9">
        <w:t>Rahner has</w:t>
      </w:r>
      <w:r>
        <w:t xml:space="preserve"> been called the “father of Roman Catholic theology” and the “</w:t>
      </w:r>
      <w:r w:rsidR="001B5CF9">
        <w:t>quiet mover</w:t>
      </w:r>
      <w:r>
        <w:t xml:space="preserve"> of the Catholic Church”.</w:t>
      </w:r>
      <w:r>
        <w:rPr>
          <w:rStyle w:val="EndnoteReference"/>
        </w:rPr>
        <w:endnoteReference w:id="27"/>
      </w:r>
      <w:r>
        <w:t xml:space="preserve"> He </w:t>
      </w:r>
      <w:r w:rsidR="001B5CF9">
        <w:t xml:space="preserve">was </w:t>
      </w:r>
      <w:r>
        <w:t>a Jesuit Priest, a professor</w:t>
      </w:r>
      <w:r w:rsidR="001B5CF9">
        <w:t>, an</w:t>
      </w:r>
      <w:r>
        <w:t xml:space="preserve"> author, a philosopher and a great theologian.</w:t>
      </w:r>
      <w:r>
        <w:rPr>
          <w:rStyle w:val="EndnoteReference"/>
        </w:rPr>
        <w:endnoteReference w:id="28"/>
      </w:r>
      <w:r>
        <w:t xml:space="preserve">  He wrote over four-thousand different works </w:t>
      </w:r>
      <w:r w:rsidR="00AC5683">
        <w:t xml:space="preserve">including </w:t>
      </w:r>
      <w:r>
        <w:t xml:space="preserve">numerous books </w:t>
      </w:r>
      <w:r w:rsidR="00AC5683">
        <w:t xml:space="preserve">that have been </w:t>
      </w:r>
      <w:r>
        <w:t>translated into multiple languages.</w:t>
      </w:r>
      <w:r w:rsidR="009210FB">
        <w:rPr>
          <w:rStyle w:val="EndnoteReference"/>
        </w:rPr>
        <w:endnoteReference w:id="29"/>
      </w:r>
      <w:r w:rsidR="009210FB">
        <w:t xml:space="preserve">   Rahner played a significant role in developing the theology of the Catholic Church through his contributions during Vatican II.</w:t>
      </w:r>
      <w:r w:rsidR="009210FB">
        <w:rPr>
          <w:rStyle w:val="EndnoteReference"/>
        </w:rPr>
        <w:endnoteReference w:id="30"/>
      </w:r>
      <w:r w:rsidR="009210FB">
        <w:t xml:space="preserve">   He was instrumental in bringing Thomist philosophy into a </w:t>
      </w:r>
      <w:r w:rsidR="00E34F3A">
        <w:t>conversation with the views of philosophy in the modern age.</w:t>
      </w:r>
      <w:r w:rsidR="00E34F3A">
        <w:rPr>
          <w:rStyle w:val="EndnoteReference"/>
        </w:rPr>
        <w:endnoteReference w:id="31"/>
      </w:r>
      <w:r w:rsidR="00E34F3A">
        <w:t xml:space="preserve">  Rahner is attributed with bring</w:t>
      </w:r>
      <w:r w:rsidR="00AC5683">
        <w:t>ing</w:t>
      </w:r>
      <w:r w:rsidR="00E34F3A">
        <w:t xml:space="preserve"> fresh air into the Catholic Church with his ideas of free speech within the church and with his “theology of freedom”.</w:t>
      </w:r>
      <w:r w:rsidR="00E34F3A">
        <w:rPr>
          <w:rStyle w:val="EndnoteReference"/>
        </w:rPr>
        <w:endnoteReference w:id="32"/>
      </w:r>
      <w:r w:rsidR="00E34F3A">
        <w:t xml:space="preserve">  His profound influence on the Catholic</w:t>
      </w:r>
      <w:r w:rsidR="00AC5683">
        <w:t xml:space="preserve"> Church</w:t>
      </w:r>
      <w:r w:rsidR="00E34F3A">
        <w:t xml:space="preserve"> continues today.</w:t>
      </w:r>
      <w:r w:rsidR="00417DD8">
        <w:t xml:space="preserve">  </w:t>
      </w:r>
    </w:p>
    <w:p w:rsidR="00417DD8" w:rsidRDefault="00E34F3A" w:rsidP="00E83D80">
      <w:pPr>
        <w:spacing w:line="480" w:lineRule="auto"/>
      </w:pPr>
      <w:r>
        <w:tab/>
        <w:t>Rahner</w:t>
      </w:r>
      <w:r w:rsidR="00E70F5D">
        <w:t>’s</w:t>
      </w:r>
      <w:r>
        <w:t xml:space="preserve"> influence however was and is not confined to the Catholic Church.  </w:t>
      </w:r>
      <w:r w:rsidR="00E70F5D">
        <w:t xml:space="preserve">He is not unlike his contemporary Thomas Merton whose influence </w:t>
      </w:r>
      <w:r w:rsidR="001B5CF9">
        <w:t xml:space="preserve">also </w:t>
      </w:r>
      <w:r w:rsidR="00E70F5D">
        <w:t>went far beyond the wall</w:t>
      </w:r>
      <w:r w:rsidR="001B5CF9">
        <w:t>s</w:t>
      </w:r>
      <w:r w:rsidR="00E70F5D">
        <w:t xml:space="preserve"> of </w:t>
      </w:r>
      <w:r w:rsidR="001B5CF9">
        <w:t>the Abby of Geth</w:t>
      </w:r>
      <w:r w:rsidR="001B5CF9" w:rsidRPr="001B5CF9">
        <w:t>semani</w:t>
      </w:r>
      <w:r w:rsidR="001B5CF9">
        <w:t>.  Rahner</w:t>
      </w:r>
      <w:r w:rsidR="00782B09">
        <w:t xml:space="preserve">’s books are all still in print and he continues to influence </w:t>
      </w:r>
      <w:r w:rsidR="00417DD8">
        <w:t xml:space="preserve">people more than fifteen years after his death. </w:t>
      </w:r>
      <w:r w:rsidR="00F54EF7">
        <w:t xml:space="preserve"> All of his works were simply grounded in a praxis that was the everyday life of a parish minister dealing with the everyday problems of  his parishioners .</w:t>
      </w:r>
      <w:r w:rsidR="00F54EF7">
        <w:rPr>
          <w:rStyle w:val="EndnoteReference"/>
        </w:rPr>
        <w:endnoteReference w:id="33"/>
      </w:r>
      <w:r w:rsidR="00F54EF7">
        <w:t xml:space="preserve">  Although he received great acclaim for his writings and his position on various theological issues Karl Rahner remained grounded as a humble servant of God. </w:t>
      </w:r>
    </w:p>
    <w:p w:rsidR="00E34F3A" w:rsidRPr="004A0387" w:rsidRDefault="00E34F3A" w:rsidP="00E83D80">
      <w:pPr>
        <w:spacing w:line="480" w:lineRule="auto"/>
      </w:pPr>
      <w:r>
        <w:tab/>
      </w:r>
    </w:p>
    <w:p w:rsidR="00CB31FF" w:rsidRDefault="00CB31FF" w:rsidP="00E83D80">
      <w:pPr>
        <w:spacing w:line="480" w:lineRule="auto"/>
      </w:pPr>
      <w:r>
        <w:tab/>
      </w:r>
    </w:p>
    <w:sectPr w:rsidR="00CB31FF" w:rsidSect="00402C3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AB" w:rsidRDefault="00DD37AB" w:rsidP="00A544DF">
      <w:r>
        <w:separator/>
      </w:r>
    </w:p>
  </w:endnote>
  <w:endnote w:type="continuationSeparator" w:id="0">
    <w:p w:rsidR="00DD37AB" w:rsidRDefault="00DD37AB" w:rsidP="00A544DF">
      <w:r>
        <w:continuationSeparator/>
      </w:r>
    </w:p>
  </w:endnote>
  <w:endnote w:id="1">
    <w:p w:rsidR="00A544DF" w:rsidRPr="00362A03" w:rsidRDefault="00A544DF">
      <w:pPr>
        <w:pStyle w:val="EndnoteText"/>
      </w:pPr>
      <w:r>
        <w:rPr>
          <w:rStyle w:val="EndnoteReference"/>
        </w:rPr>
        <w:endnoteRef/>
      </w:r>
      <w:r>
        <w:t xml:space="preserve"> Eagan, Egan D., </w:t>
      </w:r>
      <w:r>
        <w:rPr>
          <w:i/>
        </w:rPr>
        <w:t>Karl Rahner: The Mystick of Everyday Life</w:t>
      </w:r>
      <w:r>
        <w:t xml:space="preserve"> (The Crossroad Publishing Company, 1998), p. 19. and Marmion, Declan</w:t>
      </w:r>
      <w:r w:rsidR="00362A03">
        <w:t xml:space="preserve"> and Mary E. Hines, </w:t>
      </w:r>
      <w:r w:rsidR="00362A03">
        <w:rPr>
          <w:i/>
        </w:rPr>
        <w:t>The Cambridge Companion to Karl Rahner,</w:t>
      </w:r>
      <w:r w:rsidR="00362A03">
        <w:t xml:space="preserve"> (Cambridge University Press 2005) p. 2.</w:t>
      </w:r>
    </w:p>
  </w:endnote>
  <w:endnote w:id="2">
    <w:p w:rsidR="00362A03" w:rsidRDefault="00362A03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3">
    <w:p w:rsidR="002A4E70" w:rsidRDefault="002A4E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C643C">
        <w:t>E</w:t>
      </w:r>
      <w:r>
        <w:t>gan, p.20. and Marmion, p.2.</w:t>
      </w:r>
    </w:p>
  </w:endnote>
  <w:endnote w:id="4">
    <w:p w:rsidR="006E6946" w:rsidRDefault="006E6946">
      <w:pPr>
        <w:pStyle w:val="EndnoteText"/>
      </w:pPr>
      <w:r>
        <w:rPr>
          <w:rStyle w:val="EndnoteReference"/>
        </w:rPr>
        <w:endnoteRef/>
      </w:r>
      <w:r w:rsidR="00BC643C">
        <w:t xml:space="preserve"> E</w:t>
      </w:r>
      <w:r>
        <w:t xml:space="preserve">gan, p. </w:t>
      </w:r>
      <w:r w:rsidR="00C117BC">
        <w:t>21-</w:t>
      </w:r>
      <w:r>
        <w:t>22.</w:t>
      </w:r>
    </w:p>
  </w:endnote>
  <w:endnote w:id="5">
    <w:p w:rsidR="004451B2" w:rsidRDefault="004451B2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6">
    <w:p w:rsidR="004451B2" w:rsidRDefault="004451B2">
      <w:pPr>
        <w:pStyle w:val="EndnoteText"/>
      </w:pPr>
      <w:r>
        <w:rPr>
          <w:rStyle w:val="EndnoteReference"/>
        </w:rPr>
        <w:endnoteRef/>
      </w:r>
      <w:r w:rsidR="00BC643C">
        <w:t xml:space="preserve"> E</w:t>
      </w:r>
      <w:r>
        <w:t>gan, p. 23.</w:t>
      </w:r>
    </w:p>
  </w:endnote>
  <w:endnote w:id="7">
    <w:p w:rsidR="00D50CD8" w:rsidRDefault="00D50CD8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8">
    <w:p w:rsidR="00FD400B" w:rsidRDefault="00FD400B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9">
    <w:p w:rsidR="00700DF8" w:rsidRDefault="00700DF8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Dych</w:t>
      </w:r>
      <w:proofErr w:type="spellEnd"/>
      <w:r>
        <w:t xml:space="preserve">, William V., </w:t>
      </w:r>
      <w:r w:rsidRPr="00700DF8">
        <w:rPr>
          <w:i/>
        </w:rPr>
        <w:t>Rahner</w:t>
      </w:r>
      <w:r>
        <w:t>. (Bloomsbury Academic,</w:t>
      </w:r>
      <w:r w:rsidRPr="00700DF8">
        <w:t xml:space="preserve"> </w:t>
      </w:r>
      <w:r>
        <w:t>London, 2000). P. 9.</w:t>
      </w:r>
    </w:p>
  </w:endnote>
  <w:endnote w:id="10">
    <w:p w:rsidR="00B8289C" w:rsidRDefault="00B8289C">
      <w:pPr>
        <w:pStyle w:val="EndnoteText"/>
      </w:pPr>
      <w:r>
        <w:rPr>
          <w:rStyle w:val="EndnoteReference"/>
        </w:rPr>
        <w:endnoteRef/>
      </w:r>
      <w:r>
        <w:t xml:space="preserve"> Rahner, Karl, </w:t>
      </w:r>
      <w:r w:rsidRPr="00B8289C">
        <w:rPr>
          <w:i/>
        </w:rPr>
        <w:t xml:space="preserve"> I</w:t>
      </w:r>
      <w:r>
        <w:rPr>
          <w:i/>
        </w:rPr>
        <w:t xml:space="preserve"> R</w:t>
      </w:r>
      <w:r w:rsidRPr="00B8289C">
        <w:rPr>
          <w:i/>
        </w:rPr>
        <w:t>emember</w:t>
      </w:r>
      <w:r>
        <w:t>. (The Crossroad Publishing Company, New York 1984). P. 51 and 63.</w:t>
      </w:r>
    </w:p>
  </w:endnote>
  <w:endnote w:id="11">
    <w:p w:rsidR="00216C50" w:rsidRDefault="00216C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C643C">
        <w:t>E</w:t>
      </w:r>
      <w:r>
        <w:t>gan, p. 24.</w:t>
      </w:r>
    </w:p>
  </w:endnote>
  <w:endnote w:id="12">
    <w:p w:rsidR="007E05CE" w:rsidRDefault="007E05CE">
      <w:pPr>
        <w:pStyle w:val="EndnoteText"/>
      </w:pPr>
      <w:r>
        <w:rPr>
          <w:rStyle w:val="EndnoteReference"/>
        </w:rPr>
        <w:endnoteRef/>
      </w:r>
      <w:r>
        <w:t xml:space="preserve"> Eucharistic should be capitalized </w:t>
      </w:r>
      <w:r w:rsidR="00BC643C">
        <w:t>but is not in the E</w:t>
      </w:r>
      <w:r>
        <w:t>gan book.</w:t>
      </w:r>
    </w:p>
  </w:endnote>
  <w:endnote w:id="13">
    <w:p w:rsidR="007E05CE" w:rsidRDefault="007E05CE">
      <w:pPr>
        <w:pStyle w:val="EndnoteText"/>
      </w:pPr>
      <w:r>
        <w:rPr>
          <w:rStyle w:val="EndnoteReference"/>
        </w:rPr>
        <w:endnoteRef/>
      </w:r>
      <w:r w:rsidR="00BC643C">
        <w:t xml:space="preserve"> E</w:t>
      </w:r>
      <w:r>
        <w:t>gan, p. 26.</w:t>
      </w:r>
    </w:p>
  </w:endnote>
  <w:endnote w:id="14">
    <w:p w:rsidR="007E05CE" w:rsidRDefault="007E05CE">
      <w:pPr>
        <w:pStyle w:val="EndnoteText"/>
      </w:pPr>
      <w:r>
        <w:rPr>
          <w:rStyle w:val="EndnoteReference"/>
        </w:rPr>
        <w:endnoteRef/>
      </w:r>
      <w:r w:rsidR="00BC643C">
        <w:t xml:space="preserve"> E</w:t>
      </w:r>
      <w:r>
        <w:t>gan, p. 27.</w:t>
      </w:r>
    </w:p>
  </w:endnote>
  <w:endnote w:id="15">
    <w:p w:rsidR="004B6331" w:rsidRDefault="004B6331">
      <w:pPr>
        <w:pStyle w:val="EndnoteText"/>
      </w:pPr>
      <w:r>
        <w:rPr>
          <w:rStyle w:val="EndnoteReference"/>
        </w:rPr>
        <w:endnoteRef/>
      </w:r>
      <w:r>
        <w:t xml:space="preserve"> Rahner, Karl, </w:t>
      </w:r>
      <w:r w:rsidRPr="004B6331">
        <w:rPr>
          <w:i/>
        </w:rPr>
        <w:t>Foundations of Christian faith: An introduction to the idea of Christianity</w:t>
      </w:r>
      <w:r>
        <w:t>. ( The Crossroad Publishing Company, New York,1982) P. 128.</w:t>
      </w:r>
    </w:p>
  </w:endnote>
  <w:endnote w:id="16">
    <w:p w:rsidR="004B6331" w:rsidRDefault="004B6331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17">
    <w:p w:rsidR="006770D1" w:rsidRDefault="006770D1">
      <w:pPr>
        <w:pStyle w:val="EndnoteText"/>
      </w:pPr>
      <w:r>
        <w:rPr>
          <w:rStyle w:val="EndnoteReference"/>
        </w:rPr>
        <w:endnoteRef/>
      </w:r>
      <w:r>
        <w:t xml:space="preserve"> Rahner, Karl, </w:t>
      </w:r>
      <w:r>
        <w:rPr>
          <w:i/>
        </w:rPr>
        <w:t>The Mystical May in Everyday L</w:t>
      </w:r>
      <w:r w:rsidRPr="006770D1">
        <w:rPr>
          <w:i/>
        </w:rPr>
        <w:t>ife</w:t>
      </w:r>
      <w:r>
        <w:t>, (</w:t>
      </w:r>
      <w:proofErr w:type="spellStart"/>
      <w:r>
        <w:t>Orbis</w:t>
      </w:r>
      <w:proofErr w:type="spellEnd"/>
      <w:r>
        <w:t xml:space="preserve"> Books, </w:t>
      </w:r>
      <w:proofErr w:type="spellStart"/>
      <w:r>
        <w:t>Maryknoll</w:t>
      </w:r>
      <w:proofErr w:type="spellEnd"/>
      <w:r>
        <w:t>, NY, 2010) p. xv.</w:t>
      </w:r>
    </w:p>
  </w:endnote>
  <w:endnote w:id="18">
    <w:p w:rsidR="00BC643C" w:rsidRDefault="00BC643C">
      <w:pPr>
        <w:pStyle w:val="EndnoteText"/>
      </w:pPr>
      <w:r>
        <w:rPr>
          <w:rStyle w:val="EndnoteReference"/>
        </w:rPr>
        <w:endnoteRef/>
      </w:r>
      <w:r>
        <w:t xml:space="preserve"> Marmion, p. xv and 13.</w:t>
      </w:r>
      <w:r w:rsidR="006770D1" w:rsidRPr="006770D1">
        <w:t xml:space="preserve"> </w:t>
      </w:r>
    </w:p>
  </w:endnote>
  <w:endnote w:id="19">
    <w:p w:rsidR="00F40B0B" w:rsidRDefault="00F40B0B">
      <w:pPr>
        <w:pStyle w:val="EndnoteText"/>
      </w:pPr>
      <w:r>
        <w:rPr>
          <w:rStyle w:val="EndnoteReference"/>
        </w:rPr>
        <w:endnoteRef/>
      </w:r>
      <w:r>
        <w:t xml:space="preserve"> Ibid, p.13.</w:t>
      </w:r>
    </w:p>
  </w:endnote>
  <w:endnote w:id="20">
    <w:p w:rsidR="00F40B0B" w:rsidRDefault="00F40B0B">
      <w:pPr>
        <w:pStyle w:val="EndnoteText"/>
      </w:pPr>
      <w:r>
        <w:rPr>
          <w:rStyle w:val="EndnoteReference"/>
        </w:rPr>
        <w:endnoteRef/>
      </w:r>
      <w:r>
        <w:t xml:space="preserve"> Egan, p. 19 and Marm</w:t>
      </w:r>
      <w:r w:rsidR="00FC7A56">
        <w:t>ion, p. 13</w:t>
      </w:r>
    </w:p>
  </w:endnote>
  <w:endnote w:id="21">
    <w:p w:rsidR="00FC7A56" w:rsidRDefault="00FC7A56">
      <w:pPr>
        <w:pStyle w:val="EndnoteText"/>
      </w:pPr>
      <w:r>
        <w:rPr>
          <w:rStyle w:val="EndnoteReference"/>
        </w:rPr>
        <w:endnoteRef/>
      </w:r>
      <w:r>
        <w:t xml:space="preserve"> Marmion, p. 29.</w:t>
      </w:r>
    </w:p>
  </w:endnote>
  <w:endnote w:id="22">
    <w:p w:rsidR="00E42C64" w:rsidRDefault="00E42C64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23">
    <w:p w:rsidR="00923463" w:rsidRDefault="00923463">
      <w:pPr>
        <w:pStyle w:val="EndnoteText"/>
      </w:pPr>
      <w:r>
        <w:rPr>
          <w:rStyle w:val="EndnoteReference"/>
        </w:rPr>
        <w:endnoteRef/>
      </w:r>
      <w:r>
        <w:t xml:space="preserve"> Egan, p. 22.</w:t>
      </w:r>
    </w:p>
  </w:endnote>
  <w:endnote w:id="24">
    <w:p w:rsidR="00CB31FF" w:rsidRDefault="00CB31FF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25">
    <w:p w:rsidR="00995986" w:rsidRDefault="00995986">
      <w:pPr>
        <w:pStyle w:val="EndnoteText"/>
      </w:pPr>
      <w:r>
        <w:rPr>
          <w:rStyle w:val="EndnoteReference"/>
        </w:rPr>
        <w:endnoteRef/>
      </w:r>
      <w:r>
        <w:t xml:space="preserve"> Egan, p. 28.</w:t>
      </w:r>
    </w:p>
  </w:endnote>
  <w:endnote w:id="26">
    <w:p w:rsidR="00995986" w:rsidRDefault="00995986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27">
    <w:p w:rsidR="004A0387" w:rsidRDefault="004A0387">
      <w:pPr>
        <w:pStyle w:val="EndnoteText"/>
      </w:pPr>
      <w:r>
        <w:rPr>
          <w:rStyle w:val="EndnoteReference"/>
        </w:rPr>
        <w:endnoteRef/>
      </w:r>
      <w:r>
        <w:t xml:space="preserve"> Marmion, 13.</w:t>
      </w:r>
    </w:p>
  </w:endnote>
  <w:endnote w:id="28">
    <w:p w:rsidR="004A0387" w:rsidRDefault="004A0387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29">
    <w:p w:rsidR="009210FB" w:rsidRDefault="009210FB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30">
    <w:p w:rsidR="009210FB" w:rsidRDefault="009210FB">
      <w:pPr>
        <w:pStyle w:val="EndnoteText"/>
      </w:pPr>
      <w:r>
        <w:rPr>
          <w:rStyle w:val="EndnoteReference"/>
        </w:rPr>
        <w:endnoteRef/>
      </w:r>
      <w:r>
        <w:t xml:space="preserve"> Ibid, 65.</w:t>
      </w:r>
    </w:p>
  </w:endnote>
  <w:endnote w:id="31">
    <w:p w:rsidR="00E34F3A" w:rsidRDefault="00E34F3A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32">
    <w:p w:rsidR="00E34F3A" w:rsidRDefault="00E34F3A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33">
    <w:p w:rsidR="00F54EF7" w:rsidRDefault="00F54EF7">
      <w:pPr>
        <w:pStyle w:val="EndnoteText"/>
      </w:pPr>
      <w:r>
        <w:rPr>
          <w:rStyle w:val="EndnoteReference"/>
        </w:rPr>
        <w:endnoteRef/>
      </w:r>
      <w:r>
        <w:t xml:space="preserve"> Ibid, p. 83.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AB" w:rsidRDefault="00DD37AB" w:rsidP="00A544DF">
      <w:r>
        <w:separator/>
      </w:r>
    </w:p>
  </w:footnote>
  <w:footnote w:type="continuationSeparator" w:id="0">
    <w:p w:rsidR="00DD37AB" w:rsidRDefault="00DD37AB" w:rsidP="00A54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7E3A"/>
    <w:rsid w:val="0013073E"/>
    <w:rsid w:val="00187E3A"/>
    <w:rsid w:val="001B5CF9"/>
    <w:rsid w:val="00216C50"/>
    <w:rsid w:val="00227F98"/>
    <w:rsid w:val="002A4E70"/>
    <w:rsid w:val="00362A03"/>
    <w:rsid w:val="00402C35"/>
    <w:rsid w:val="00417DD8"/>
    <w:rsid w:val="004451B2"/>
    <w:rsid w:val="004A0387"/>
    <w:rsid w:val="004B6331"/>
    <w:rsid w:val="00533ED6"/>
    <w:rsid w:val="006770D1"/>
    <w:rsid w:val="006E6946"/>
    <w:rsid w:val="00700DF8"/>
    <w:rsid w:val="00782B09"/>
    <w:rsid w:val="007E05CE"/>
    <w:rsid w:val="00805DBA"/>
    <w:rsid w:val="00883656"/>
    <w:rsid w:val="009210FB"/>
    <w:rsid w:val="00923463"/>
    <w:rsid w:val="00995986"/>
    <w:rsid w:val="00A544DF"/>
    <w:rsid w:val="00AC5683"/>
    <w:rsid w:val="00B64528"/>
    <w:rsid w:val="00B8289C"/>
    <w:rsid w:val="00BC643C"/>
    <w:rsid w:val="00C117BC"/>
    <w:rsid w:val="00CB31FF"/>
    <w:rsid w:val="00D50CD8"/>
    <w:rsid w:val="00DD37AB"/>
    <w:rsid w:val="00E34F3A"/>
    <w:rsid w:val="00E42C64"/>
    <w:rsid w:val="00E70F5D"/>
    <w:rsid w:val="00E83D80"/>
    <w:rsid w:val="00F14505"/>
    <w:rsid w:val="00F40B0B"/>
    <w:rsid w:val="00F54EF7"/>
    <w:rsid w:val="00FC7A56"/>
    <w:rsid w:val="00FD400B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544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C584-4D05-43C6-9EF6-DC1BB04C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2017-05-22T21:08:00Z</dcterms:created>
  <dcterms:modified xsi:type="dcterms:W3CDTF">2017-05-23T05:58:00Z</dcterms:modified>
</cp:coreProperties>
</file>