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951F6" w14:textId="77777777" w:rsidR="00065DEF" w:rsidRDefault="00065DEF" w:rsidP="001656B1">
      <w:pPr>
        <w:spacing w:line="480" w:lineRule="auto"/>
        <w:jc w:val="right"/>
        <w:rPr>
          <w:rFonts w:ascii="Times New Roman" w:hAnsi="Times New Roman"/>
          <w:sz w:val="24"/>
          <w:szCs w:val="24"/>
        </w:rPr>
      </w:pPr>
      <w:r>
        <w:rPr>
          <w:rFonts w:ascii="Times New Roman" w:hAnsi="Times New Roman"/>
          <w:sz w:val="24"/>
          <w:szCs w:val="24"/>
        </w:rPr>
        <w:t>Academic foundation for “Disrupting the Dichotomy” presentation</w:t>
      </w:r>
      <w:r>
        <w:rPr>
          <w:rStyle w:val="FootnoteReference"/>
          <w:rFonts w:ascii="Times New Roman" w:hAnsi="Times New Roman"/>
          <w:sz w:val="24"/>
          <w:szCs w:val="24"/>
        </w:rPr>
        <w:footnoteReference w:id="1"/>
      </w:r>
    </w:p>
    <w:p w14:paraId="388A0EC7" w14:textId="77777777" w:rsidR="00065DEF" w:rsidRDefault="00065DEF" w:rsidP="001656B1">
      <w:pPr>
        <w:spacing w:line="480" w:lineRule="auto"/>
        <w:jc w:val="right"/>
        <w:rPr>
          <w:rFonts w:ascii="Times New Roman" w:hAnsi="Times New Roman"/>
          <w:sz w:val="24"/>
          <w:szCs w:val="24"/>
        </w:rPr>
      </w:pPr>
      <w:r>
        <w:rPr>
          <w:rFonts w:ascii="Times New Roman" w:hAnsi="Times New Roman"/>
          <w:sz w:val="24"/>
          <w:szCs w:val="24"/>
        </w:rPr>
        <w:t>Dr. James F. Marriott</w:t>
      </w:r>
    </w:p>
    <w:p w14:paraId="2365BBEA" w14:textId="77777777" w:rsidR="00986DA7" w:rsidRDefault="003A5692" w:rsidP="003A5692">
      <w:pPr>
        <w:spacing w:line="480" w:lineRule="auto"/>
        <w:ind w:firstLine="720"/>
        <w:rPr>
          <w:rFonts w:ascii="Times New Roman" w:hAnsi="Times New Roman"/>
          <w:sz w:val="24"/>
          <w:szCs w:val="24"/>
        </w:rPr>
      </w:pPr>
      <w:r>
        <w:rPr>
          <w:rFonts w:ascii="Times New Roman" w:hAnsi="Times New Roman"/>
          <w:sz w:val="24"/>
          <w:szCs w:val="24"/>
        </w:rPr>
        <w:t>M</w:t>
      </w:r>
      <w:r w:rsidRPr="002F60D2">
        <w:rPr>
          <w:rFonts w:ascii="Times New Roman" w:hAnsi="Times New Roman"/>
          <w:sz w:val="24"/>
          <w:szCs w:val="24"/>
        </w:rPr>
        <w:t xml:space="preserve">usic in general is a gift of God and a </w:t>
      </w:r>
      <w:r>
        <w:rPr>
          <w:rFonts w:ascii="Times New Roman" w:hAnsi="Times New Roman"/>
          <w:sz w:val="24"/>
          <w:szCs w:val="24"/>
        </w:rPr>
        <w:t>demonstration</w:t>
      </w:r>
      <w:r w:rsidRPr="002F60D2">
        <w:rPr>
          <w:rFonts w:ascii="Times New Roman" w:hAnsi="Times New Roman"/>
          <w:sz w:val="24"/>
          <w:szCs w:val="24"/>
        </w:rPr>
        <w:t xml:space="preserve"> of God’s transcendence and God’s immanence.</w:t>
      </w:r>
      <w:r w:rsidRPr="002F60D2">
        <w:rPr>
          <w:rStyle w:val="FootnoteReference"/>
          <w:rFonts w:ascii="Times New Roman" w:hAnsi="Times New Roman"/>
          <w:sz w:val="24"/>
          <w:szCs w:val="24"/>
        </w:rPr>
        <w:footnoteReference w:id="2"/>
      </w:r>
      <w:r>
        <w:rPr>
          <w:rFonts w:ascii="Times New Roman" w:hAnsi="Times New Roman"/>
          <w:sz w:val="24"/>
          <w:szCs w:val="24"/>
        </w:rPr>
        <w:t xml:space="preserve"> M</w:t>
      </w:r>
      <w:r w:rsidRPr="002F60D2">
        <w:rPr>
          <w:rFonts w:ascii="Times New Roman" w:hAnsi="Times New Roman"/>
          <w:sz w:val="24"/>
          <w:szCs w:val="24"/>
        </w:rPr>
        <w:t xml:space="preserve">usic </w:t>
      </w:r>
      <w:r>
        <w:rPr>
          <w:rFonts w:ascii="Times New Roman" w:hAnsi="Times New Roman"/>
          <w:sz w:val="24"/>
          <w:szCs w:val="24"/>
        </w:rPr>
        <w:t xml:space="preserve">has the capacity to </w:t>
      </w:r>
      <w:r w:rsidR="00F612BD">
        <w:rPr>
          <w:rFonts w:ascii="Times New Roman" w:hAnsi="Times New Roman"/>
          <w:sz w:val="24"/>
          <w:szCs w:val="24"/>
        </w:rPr>
        <w:t xml:space="preserve">reveal </w:t>
      </w:r>
      <w:r w:rsidRPr="002F60D2">
        <w:rPr>
          <w:rFonts w:ascii="Times New Roman" w:hAnsi="Times New Roman"/>
          <w:sz w:val="24"/>
          <w:szCs w:val="24"/>
        </w:rPr>
        <w:t>God in relationship with humanity and the world.</w:t>
      </w:r>
      <w:r>
        <w:rPr>
          <w:rStyle w:val="FootnoteReference"/>
          <w:rFonts w:ascii="Times New Roman" w:hAnsi="Times New Roman"/>
          <w:sz w:val="24"/>
          <w:szCs w:val="24"/>
        </w:rPr>
        <w:footnoteReference w:id="3"/>
      </w:r>
      <w:r w:rsidRPr="002F60D2">
        <w:rPr>
          <w:rFonts w:ascii="Times New Roman" w:hAnsi="Times New Roman"/>
          <w:sz w:val="24"/>
          <w:szCs w:val="24"/>
        </w:rPr>
        <w:t xml:space="preserve">  At the same time, music is made manifest </w:t>
      </w:r>
      <w:r w:rsidRPr="002F60D2">
        <w:rPr>
          <w:rFonts w:ascii="Times New Roman" w:hAnsi="Times New Roman"/>
          <w:i/>
          <w:sz w:val="24"/>
          <w:szCs w:val="24"/>
        </w:rPr>
        <w:t>within</w:t>
      </w:r>
      <w:r w:rsidRPr="002F60D2">
        <w:rPr>
          <w:rFonts w:ascii="Times New Roman" w:hAnsi="Times New Roman"/>
          <w:sz w:val="24"/>
          <w:szCs w:val="24"/>
        </w:rPr>
        <w:t xml:space="preserve"> humanity, and thus, is a product of the cultural and contextual influences that distinguish human communities over time.  </w:t>
      </w:r>
      <w:r>
        <w:rPr>
          <w:rFonts w:ascii="Times New Roman" w:hAnsi="Times New Roman"/>
          <w:sz w:val="24"/>
          <w:szCs w:val="24"/>
        </w:rPr>
        <w:t>As a cultural product, music has the capacity to represent and produce the values and practices of the culture.  This includes values that may be consonant with the Christian faith and values that may be dissonant with the Christian faith, as well as various levels of intentionality or passivity in these associations.  For example, music may be employed intentionally</w:t>
      </w:r>
      <w:r w:rsidR="00FB1FE3">
        <w:rPr>
          <w:rFonts w:ascii="Times New Roman" w:hAnsi="Times New Roman"/>
          <w:sz w:val="24"/>
          <w:szCs w:val="24"/>
        </w:rPr>
        <w:t xml:space="preserve"> as a vehicle of cultural formation</w:t>
      </w:r>
      <w:r>
        <w:rPr>
          <w:rFonts w:ascii="Times New Roman" w:hAnsi="Times New Roman"/>
          <w:sz w:val="24"/>
          <w:szCs w:val="24"/>
        </w:rPr>
        <w:t xml:space="preserve"> because of the values it produces and represents.  Other times, music may be producing and representing cultural values more innocuously, with a subtle passivity that can often be masked as neutrality. Music can represent cultural contexts as an artifact of values, as a kind of intentional cultural ambassador or token.  Other times, music can be taken for granted, a kind of cultural “elevator” music that is casually employed yet no less present or powerful.  </w:t>
      </w:r>
      <w:r w:rsidRPr="002F60D2">
        <w:rPr>
          <w:rFonts w:ascii="Times New Roman" w:hAnsi="Times New Roman"/>
          <w:sz w:val="24"/>
          <w:szCs w:val="24"/>
        </w:rPr>
        <w:t xml:space="preserve">The music of Christian worship, then, is an </w:t>
      </w:r>
      <w:proofErr w:type="spellStart"/>
      <w:r w:rsidRPr="002F60D2">
        <w:rPr>
          <w:rFonts w:ascii="Times New Roman" w:hAnsi="Times New Roman"/>
          <w:sz w:val="24"/>
          <w:szCs w:val="24"/>
        </w:rPr>
        <w:t>inculturated</w:t>
      </w:r>
      <w:proofErr w:type="spellEnd"/>
      <w:r w:rsidRPr="002F60D2">
        <w:rPr>
          <w:rFonts w:ascii="Times New Roman" w:hAnsi="Times New Roman"/>
          <w:sz w:val="24"/>
          <w:szCs w:val="24"/>
        </w:rPr>
        <w:t xml:space="preserve"> entity, </w:t>
      </w:r>
      <w:r>
        <w:rPr>
          <w:rFonts w:ascii="Times New Roman" w:hAnsi="Times New Roman"/>
          <w:sz w:val="24"/>
          <w:szCs w:val="24"/>
        </w:rPr>
        <w:t>representing and producing the values of the Christian faith (“A”) in the intercultural matrix of various cultural contexts (“B”).</w:t>
      </w:r>
      <w:r w:rsidR="00EB725F">
        <w:rPr>
          <w:rStyle w:val="FootnoteReference"/>
          <w:rFonts w:ascii="Times New Roman" w:hAnsi="Times New Roman"/>
          <w:sz w:val="24"/>
          <w:szCs w:val="24"/>
        </w:rPr>
        <w:footnoteReference w:id="4"/>
      </w:r>
      <w:r>
        <w:rPr>
          <w:rFonts w:ascii="Times New Roman" w:hAnsi="Times New Roman"/>
          <w:sz w:val="24"/>
          <w:szCs w:val="24"/>
        </w:rPr>
        <w:t xml:space="preserve">  As a hermeneutical instrument, music functions as a language and performance system that facilitates and marks the cultural continuity of a community. This continuity </w:t>
      </w:r>
      <w:r w:rsidRPr="002F60D2">
        <w:rPr>
          <w:rFonts w:ascii="Times New Roman" w:hAnsi="Times New Roman"/>
          <w:sz w:val="24"/>
          <w:szCs w:val="24"/>
        </w:rPr>
        <w:t xml:space="preserve">is consequently interpreted by </w:t>
      </w:r>
      <w:r w:rsidRPr="002F60D2">
        <w:rPr>
          <w:rFonts w:ascii="Times New Roman" w:hAnsi="Times New Roman"/>
          <w:sz w:val="24"/>
          <w:szCs w:val="24"/>
        </w:rPr>
        <w:lastRenderedPageBreak/>
        <w:t>individuals</w:t>
      </w:r>
      <w:r>
        <w:rPr>
          <w:rFonts w:ascii="Times New Roman" w:hAnsi="Times New Roman"/>
          <w:sz w:val="24"/>
          <w:szCs w:val="24"/>
        </w:rPr>
        <w:t>-</w:t>
      </w:r>
      <w:r w:rsidRPr="002F60D2">
        <w:rPr>
          <w:rFonts w:ascii="Times New Roman" w:hAnsi="Times New Roman"/>
          <w:sz w:val="24"/>
          <w:szCs w:val="24"/>
        </w:rPr>
        <w:t>in</w:t>
      </w:r>
      <w:r>
        <w:rPr>
          <w:rFonts w:ascii="Times New Roman" w:hAnsi="Times New Roman"/>
          <w:sz w:val="24"/>
          <w:szCs w:val="24"/>
        </w:rPr>
        <w:t>-</w:t>
      </w:r>
      <w:r w:rsidRPr="002F60D2">
        <w:rPr>
          <w:rFonts w:ascii="Times New Roman" w:hAnsi="Times New Roman"/>
          <w:sz w:val="24"/>
          <w:szCs w:val="24"/>
        </w:rPr>
        <w:t>community, an interpretation which itself is conditioned by the cultural context and experience of the individual</w:t>
      </w:r>
      <w:r>
        <w:rPr>
          <w:rFonts w:ascii="Times New Roman" w:hAnsi="Times New Roman"/>
          <w:sz w:val="24"/>
          <w:szCs w:val="24"/>
        </w:rPr>
        <w:t xml:space="preserve"> and the community</w:t>
      </w:r>
      <w:r w:rsidRPr="002F60D2">
        <w:rPr>
          <w:rFonts w:ascii="Times New Roman" w:hAnsi="Times New Roman"/>
          <w:sz w:val="24"/>
          <w:szCs w:val="24"/>
        </w:rPr>
        <w:t>.</w:t>
      </w:r>
    </w:p>
    <w:p w14:paraId="10E6CEC3" w14:textId="77777777" w:rsidR="003A5692" w:rsidRPr="002F60D2" w:rsidRDefault="003A5692" w:rsidP="001F6CF6">
      <w:pPr>
        <w:spacing w:after="0" w:line="480" w:lineRule="auto"/>
        <w:ind w:firstLine="720"/>
        <w:jc w:val="both"/>
        <w:rPr>
          <w:rFonts w:ascii="Times New Roman" w:hAnsi="Times New Roman"/>
          <w:sz w:val="24"/>
          <w:szCs w:val="24"/>
        </w:rPr>
      </w:pPr>
      <w:r>
        <w:rPr>
          <w:rFonts w:ascii="Times New Roman" w:hAnsi="Times New Roman"/>
          <w:sz w:val="24"/>
          <w:szCs w:val="24"/>
        </w:rPr>
        <w:t>The hermeneutical conversations regarding music often quickly become oriented around “good” and “bad” music.</w:t>
      </w:r>
      <w:r w:rsidRPr="002F60D2">
        <w:rPr>
          <w:rStyle w:val="FootnoteReference"/>
          <w:rFonts w:ascii="Times New Roman" w:hAnsi="Times New Roman"/>
          <w:sz w:val="24"/>
          <w:szCs w:val="24"/>
        </w:rPr>
        <w:footnoteReference w:id="5"/>
      </w:r>
      <w:r>
        <w:rPr>
          <w:rFonts w:ascii="Times New Roman" w:hAnsi="Times New Roman"/>
          <w:sz w:val="24"/>
          <w:szCs w:val="24"/>
        </w:rPr>
        <w:t xml:space="preserve"> </w:t>
      </w:r>
      <w:r w:rsidRPr="002F60D2">
        <w:rPr>
          <w:rFonts w:ascii="Times New Roman" w:hAnsi="Times New Roman"/>
          <w:color w:val="000000"/>
          <w:sz w:val="24"/>
          <w:szCs w:val="24"/>
          <w:shd w:val="clear" w:color="auto" w:fill="FFFFFF"/>
        </w:rPr>
        <w:t xml:space="preserve">Good music, for </w:t>
      </w:r>
      <w:r>
        <w:rPr>
          <w:rFonts w:ascii="Times New Roman" w:hAnsi="Times New Roman"/>
          <w:color w:val="000000"/>
          <w:sz w:val="24"/>
          <w:szCs w:val="24"/>
          <w:shd w:val="clear" w:color="auto" w:fill="FFFFFF"/>
        </w:rPr>
        <w:t xml:space="preserve">Albert </w:t>
      </w:r>
      <w:r w:rsidRPr="002F60D2">
        <w:rPr>
          <w:rFonts w:ascii="Times New Roman" w:hAnsi="Times New Roman"/>
          <w:color w:val="000000"/>
          <w:sz w:val="24"/>
          <w:szCs w:val="24"/>
          <w:shd w:val="clear" w:color="auto" w:fill="FFFFFF"/>
        </w:rPr>
        <w:t xml:space="preserve">Blackwell, seems to be that which acknowledges, abides by, and thrives within the </w:t>
      </w:r>
      <w:r>
        <w:rPr>
          <w:rFonts w:ascii="Times New Roman" w:hAnsi="Times New Roman"/>
          <w:color w:val="000000"/>
          <w:sz w:val="24"/>
          <w:szCs w:val="24"/>
          <w:shd w:val="clear" w:color="auto" w:fill="FFFFFF"/>
        </w:rPr>
        <w:t>created order.</w:t>
      </w:r>
      <w:r>
        <w:rPr>
          <w:rStyle w:val="FootnoteReference"/>
          <w:rFonts w:ascii="Times New Roman" w:hAnsi="Times New Roman"/>
          <w:color w:val="000000"/>
          <w:sz w:val="24"/>
          <w:szCs w:val="24"/>
          <w:shd w:val="clear" w:color="auto" w:fill="FFFFFF"/>
        </w:rPr>
        <w:footnoteReference w:id="6"/>
      </w:r>
      <w:r>
        <w:rPr>
          <w:rFonts w:ascii="Times New Roman" w:hAnsi="Times New Roman"/>
          <w:color w:val="000000"/>
          <w:sz w:val="24"/>
          <w:szCs w:val="24"/>
          <w:shd w:val="clear" w:color="auto" w:fill="FFFFFF"/>
        </w:rPr>
        <w:t xml:space="preserve">  G</w:t>
      </w:r>
      <w:r w:rsidRPr="002F60D2">
        <w:rPr>
          <w:rFonts w:ascii="Times New Roman" w:hAnsi="Times New Roman"/>
          <w:color w:val="000000"/>
          <w:sz w:val="24"/>
          <w:szCs w:val="24"/>
          <w:shd w:val="clear" w:color="auto" w:fill="FFFFFF"/>
        </w:rPr>
        <w:t>ood music, furthermore, transcends the ordinary in a kind of classic timelessness.</w:t>
      </w:r>
      <w:r>
        <w:rPr>
          <w:rFonts w:ascii="Times New Roman" w:hAnsi="Times New Roman"/>
          <w:color w:val="000000"/>
          <w:sz w:val="24"/>
          <w:szCs w:val="24"/>
          <w:shd w:val="clear" w:color="auto" w:fill="FFFFFF"/>
        </w:rPr>
        <w:t xml:space="preserve"> G</w:t>
      </w:r>
      <w:r w:rsidRPr="002F60D2">
        <w:rPr>
          <w:rFonts w:ascii="Times New Roman" w:hAnsi="Times New Roman"/>
          <w:sz w:val="24"/>
          <w:szCs w:val="24"/>
        </w:rPr>
        <w:t>ood music reveals God’s transcendent and immanent nature as “perfectly” as possible; bad music does not.</w:t>
      </w:r>
      <w:r w:rsidRPr="002F60D2">
        <w:rPr>
          <w:rStyle w:val="FootnoteReference"/>
          <w:rFonts w:ascii="Times New Roman" w:hAnsi="Times New Roman"/>
          <w:sz w:val="24"/>
          <w:szCs w:val="24"/>
        </w:rPr>
        <w:footnoteReference w:id="7"/>
      </w:r>
      <w:r>
        <w:rPr>
          <w:rFonts w:ascii="Times New Roman" w:hAnsi="Times New Roman"/>
          <w:sz w:val="24"/>
          <w:szCs w:val="24"/>
        </w:rPr>
        <w:t xml:space="preserve"> Bad music is identified as </w:t>
      </w:r>
      <w:r>
        <w:rPr>
          <w:rFonts w:ascii="Times New Roman" w:hAnsi="Times New Roman"/>
          <w:color w:val="000000"/>
          <w:sz w:val="24"/>
          <w:szCs w:val="24"/>
          <w:shd w:val="clear" w:color="auto" w:fill="FFFFFF"/>
        </w:rPr>
        <w:t>“</w:t>
      </w:r>
      <w:r w:rsidRPr="002F60D2">
        <w:rPr>
          <w:rFonts w:ascii="Times New Roman" w:hAnsi="Times New Roman"/>
          <w:color w:val="000000"/>
          <w:sz w:val="24"/>
          <w:szCs w:val="24"/>
          <w:shd w:val="clear" w:color="auto" w:fill="FFFFFF"/>
        </w:rPr>
        <w:t>music too vacuous to mediate sacramental depths…which, I’m afraid, is quite a lot of music.”</w:t>
      </w:r>
      <w:r>
        <w:rPr>
          <w:rStyle w:val="FootnoteReference"/>
          <w:rFonts w:ascii="Times New Roman" w:hAnsi="Times New Roman"/>
          <w:color w:val="000000"/>
          <w:sz w:val="24"/>
          <w:szCs w:val="24"/>
          <w:shd w:val="clear" w:color="auto" w:fill="FFFFFF"/>
        </w:rPr>
        <w:footnoteReference w:id="8"/>
      </w:r>
      <w:r>
        <w:rPr>
          <w:rFonts w:ascii="Times New Roman" w:hAnsi="Times New Roman"/>
          <w:color w:val="000000"/>
          <w:sz w:val="24"/>
          <w:szCs w:val="24"/>
          <w:shd w:val="clear" w:color="auto" w:fill="FFFFFF"/>
        </w:rPr>
        <w:t xml:space="preserve"> </w:t>
      </w:r>
      <w:r w:rsidRPr="002F60D2">
        <w:rPr>
          <w:rFonts w:ascii="Times New Roman" w:hAnsi="Times New Roman"/>
          <w:sz w:val="24"/>
          <w:szCs w:val="24"/>
        </w:rPr>
        <w:t>This acts as a continuum of quality, with some musical expressions achieving more success than others.  All musical genres have the potential for this</w:t>
      </w:r>
      <w:r>
        <w:rPr>
          <w:rFonts w:ascii="Times New Roman" w:hAnsi="Times New Roman"/>
          <w:sz w:val="24"/>
          <w:szCs w:val="24"/>
        </w:rPr>
        <w:t xml:space="preserve"> perfection</w:t>
      </w:r>
      <w:r w:rsidRPr="002F60D2">
        <w:rPr>
          <w:rFonts w:ascii="Times New Roman" w:hAnsi="Times New Roman"/>
          <w:sz w:val="24"/>
          <w:szCs w:val="24"/>
        </w:rPr>
        <w:t xml:space="preserve">; yet, in Blackwell’s opinion, some genres of music have more good than bad, while others more </w:t>
      </w:r>
      <w:r w:rsidRPr="004E6715">
        <w:rPr>
          <w:rFonts w:ascii="Times New Roman" w:hAnsi="Times New Roman"/>
          <w:sz w:val="24"/>
          <w:szCs w:val="24"/>
        </w:rPr>
        <w:t>bad than good.</w:t>
      </w:r>
      <w:r w:rsidRPr="004E6715">
        <w:rPr>
          <w:rStyle w:val="FootnoteReference"/>
          <w:rFonts w:ascii="Times New Roman" w:hAnsi="Times New Roman"/>
          <w:sz w:val="24"/>
          <w:szCs w:val="24"/>
        </w:rPr>
        <w:footnoteReference w:id="9"/>
      </w:r>
      <w:r w:rsidRPr="002F60D2">
        <w:rPr>
          <w:rFonts w:ascii="Times New Roman" w:hAnsi="Times New Roman"/>
          <w:sz w:val="24"/>
          <w:szCs w:val="24"/>
        </w:rPr>
        <w:t xml:space="preserve">  For Blackwell</w:t>
      </w:r>
      <w:r>
        <w:rPr>
          <w:rFonts w:ascii="Times New Roman" w:hAnsi="Times New Roman"/>
          <w:sz w:val="24"/>
          <w:szCs w:val="24"/>
        </w:rPr>
        <w:t xml:space="preserve">, following the influence of Karl Barth, </w:t>
      </w:r>
      <w:r w:rsidRPr="002F60D2">
        <w:rPr>
          <w:rFonts w:ascii="Times New Roman" w:hAnsi="Times New Roman"/>
          <w:sz w:val="24"/>
          <w:szCs w:val="24"/>
        </w:rPr>
        <w:t>Mozart’s music achieves this type of transcendent perfectio</w:t>
      </w:r>
      <w:r w:rsidRPr="004E6715">
        <w:rPr>
          <w:rFonts w:ascii="Times New Roman" w:hAnsi="Times New Roman"/>
          <w:sz w:val="24"/>
          <w:szCs w:val="24"/>
        </w:rPr>
        <w:t>n.</w:t>
      </w:r>
      <w:r>
        <w:rPr>
          <w:rStyle w:val="FootnoteReference"/>
          <w:rFonts w:ascii="Times New Roman" w:hAnsi="Times New Roman"/>
          <w:sz w:val="24"/>
          <w:szCs w:val="24"/>
        </w:rPr>
        <w:footnoteReference w:id="10"/>
      </w:r>
      <w:r>
        <w:rPr>
          <w:rFonts w:ascii="Times New Roman" w:hAnsi="Times New Roman"/>
          <w:sz w:val="24"/>
          <w:szCs w:val="24"/>
        </w:rPr>
        <w:t xml:space="preserve"> </w:t>
      </w:r>
      <w:r w:rsidRPr="002F60D2">
        <w:rPr>
          <w:rFonts w:ascii="Times New Roman" w:hAnsi="Times New Roman"/>
          <w:color w:val="000000"/>
          <w:sz w:val="24"/>
          <w:szCs w:val="24"/>
          <w:shd w:val="clear" w:color="auto" w:fill="FFFFFF"/>
        </w:rPr>
        <w:t xml:space="preserve">The music of Mozart, for Blackwell, has a timeless character of transcendence, limited </w:t>
      </w:r>
      <w:r>
        <w:rPr>
          <w:rFonts w:ascii="Times New Roman" w:hAnsi="Times New Roman"/>
          <w:color w:val="000000"/>
          <w:sz w:val="24"/>
          <w:szCs w:val="24"/>
          <w:shd w:val="clear" w:color="auto" w:fill="FFFFFF"/>
        </w:rPr>
        <w:t>neither</w:t>
      </w:r>
      <w:r w:rsidRPr="002F60D2">
        <w:rPr>
          <w:rFonts w:ascii="Times New Roman" w:hAnsi="Times New Roman"/>
          <w:color w:val="000000"/>
          <w:sz w:val="24"/>
          <w:szCs w:val="24"/>
          <w:shd w:val="clear" w:color="auto" w:fill="FFFFFF"/>
        </w:rPr>
        <w:t xml:space="preserve"> by Mozart's own cultural context nor Blackwell's cultural conditioning for comprehending Mozart's music, even if Blackwell acknowledges that context does matter</w:t>
      </w:r>
      <w:r>
        <w:rPr>
          <w:rFonts w:ascii="Times New Roman" w:hAnsi="Times New Roman"/>
          <w:color w:val="000000"/>
          <w:sz w:val="24"/>
          <w:szCs w:val="24"/>
          <w:shd w:val="clear" w:color="auto" w:fill="FFFFFF"/>
        </w:rPr>
        <w:t xml:space="preserve">.  </w:t>
      </w:r>
      <w:r w:rsidRPr="002F60D2">
        <w:rPr>
          <w:rFonts w:ascii="Times New Roman" w:hAnsi="Times New Roman"/>
          <w:sz w:val="24"/>
          <w:szCs w:val="24"/>
        </w:rPr>
        <w:t>Blackwell’s teenage son acknowledges the excellence of Mozart, but sees similar greatness in the music of Paul Simon, which his father also concedes.</w:t>
      </w:r>
      <w:r w:rsidRPr="002F60D2">
        <w:rPr>
          <w:rStyle w:val="FootnoteReference"/>
          <w:rFonts w:ascii="Times New Roman" w:hAnsi="Times New Roman"/>
          <w:sz w:val="24"/>
          <w:szCs w:val="24"/>
        </w:rPr>
        <w:footnoteReference w:id="11"/>
      </w:r>
      <w:r>
        <w:rPr>
          <w:rFonts w:ascii="Times New Roman" w:hAnsi="Times New Roman"/>
          <w:sz w:val="24"/>
          <w:szCs w:val="24"/>
        </w:rPr>
        <w:t xml:space="preserve"> Thus, the premise of Blackwell’s notion of transcendent perfection must be acknowledged as hermeneutically negotiated, a dynamic state </w:t>
      </w:r>
      <w:r>
        <w:rPr>
          <w:rFonts w:ascii="Times New Roman" w:hAnsi="Times New Roman"/>
          <w:sz w:val="24"/>
          <w:szCs w:val="24"/>
        </w:rPr>
        <w:lastRenderedPageBreak/>
        <w:t>of becoming rather than a fixed, homogenous enti</w:t>
      </w:r>
      <w:r w:rsidR="00AE0EAB">
        <w:rPr>
          <w:rFonts w:ascii="Times New Roman" w:hAnsi="Times New Roman"/>
          <w:sz w:val="24"/>
          <w:szCs w:val="24"/>
        </w:rPr>
        <w:t xml:space="preserve">ty.  This dynamic subjectivity </w:t>
      </w:r>
      <w:r>
        <w:rPr>
          <w:rFonts w:ascii="Times New Roman" w:hAnsi="Times New Roman"/>
          <w:sz w:val="24"/>
          <w:szCs w:val="24"/>
        </w:rPr>
        <w:t xml:space="preserve">does not make evaluation impossible, nor does it condition the validity of an evaluation.  Rather, it puts various interpretations and evaluations into communal dialogue with one another, and orients the whole notion of “transcendent perfection”—a modern construct—as something which is </w:t>
      </w:r>
      <w:proofErr w:type="spellStart"/>
      <w:r>
        <w:rPr>
          <w:rFonts w:ascii="Times New Roman" w:hAnsi="Times New Roman"/>
          <w:sz w:val="24"/>
          <w:szCs w:val="24"/>
        </w:rPr>
        <w:t>hermenutically</w:t>
      </w:r>
      <w:proofErr w:type="spellEnd"/>
      <w:r>
        <w:rPr>
          <w:rFonts w:ascii="Times New Roman" w:hAnsi="Times New Roman"/>
          <w:sz w:val="24"/>
          <w:szCs w:val="24"/>
        </w:rPr>
        <w:t xml:space="preserve"> derived—a postmodern construct. This limits the authority and normativity of individual hermeneutical contributions, consistently reinforcing the notion of culture and the “transcultural” as dynamic, not static. </w:t>
      </w:r>
      <w:r w:rsidRPr="002F60D2">
        <w:rPr>
          <w:rFonts w:ascii="Times New Roman" w:hAnsi="Times New Roman"/>
          <w:sz w:val="24"/>
          <w:szCs w:val="24"/>
        </w:rPr>
        <w:t xml:space="preserve">Thus, based on cultural and contextual preconditioning, </w:t>
      </w:r>
      <w:r>
        <w:rPr>
          <w:rFonts w:ascii="Times New Roman" w:hAnsi="Times New Roman"/>
          <w:sz w:val="24"/>
          <w:szCs w:val="24"/>
        </w:rPr>
        <w:t xml:space="preserve">one </w:t>
      </w:r>
      <w:r w:rsidRPr="002F60D2">
        <w:rPr>
          <w:rFonts w:ascii="Times New Roman" w:hAnsi="Times New Roman"/>
          <w:sz w:val="24"/>
          <w:szCs w:val="24"/>
        </w:rPr>
        <w:t xml:space="preserve">may deem a performance of a piece of music as “bad,” while </w:t>
      </w:r>
      <w:r>
        <w:rPr>
          <w:rFonts w:ascii="Times New Roman" w:hAnsi="Times New Roman"/>
          <w:sz w:val="24"/>
          <w:szCs w:val="24"/>
        </w:rPr>
        <w:t xml:space="preserve">another </w:t>
      </w:r>
      <w:r w:rsidRPr="002F60D2">
        <w:rPr>
          <w:rFonts w:ascii="Times New Roman" w:hAnsi="Times New Roman"/>
          <w:sz w:val="24"/>
          <w:szCs w:val="24"/>
        </w:rPr>
        <w:t xml:space="preserve">fellow audience member might see it as “good.”  </w:t>
      </w:r>
      <w:r>
        <w:rPr>
          <w:rFonts w:ascii="Times New Roman" w:hAnsi="Times New Roman"/>
          <w:sz w:val="24"/>
          <w:szCs w:val="24"/>
        </w:rPr>
        <w:t xml:space="preserve">Each may be tempted to consider the other </w:t>
      </w:r>
      <w:r w:rsidRPr="002F60D2">
        <w:rPr>
          <w:rFonts w:ascii="Times New Roman" w:hAnsi="Times New Roman"/>
          <w:sz w:val="24"/>
          <w:szCs w:val="24"/>
        </w:rPr>
        <w:t xml:space="preserve">as incompetent or even “uncultured,” but that attitude only reinforces a </w:t>
      </w:r>
      <w:r>
        <w:rPr>
          <w:rFonts w:ascii="Times New Roman" w:hAnsi="Times New Roman"/>
          <w:sz w:val="24"/>
          <w:szCs w:val="24"/>
        </w:rPr>
        <w:t>pre-modern</w:t>
      </w:r>
      <w:r w:rsidRPr="002F60D2">
        <w:rPr>
          <w:rFonts w:ascii="Times New Roman" w:hAnsi="Times New Roman"/>
          <w:sz w:val="24"/>
          <w:szCs w:val="24"/>
        </w:rPr>
        <w:t xml:space="preserve"> type of cultural understanding that posits one perspective as “better” than another.  </w:t>
      </w:r>
      <w:r>
        <w:rPr>
          <w:rFonts w:ascii="Times New Roman" w:hAnsi="Times New Roman"/>
          <w:sz w:val="24"/>
          <w:szCs w:val="24"/>
        </w:rPr>
        <w:t xml:space="preserve">One </w:t>
      </w:r>
      <w:r w:rsidRPr="002F60D2">
        <w:rPr>
          <w:rFonts w:ascii="Times New Roman" w:hAnsi="Times New Roman"/>
          <w:sz w:val="24"/>
          <w:szCs w:val="24"/>
        </w:rPr>
        <w:t xml:space="preserve">may also be tempted to associate only with people who share </w:t>
      </w:r>
      <w:r>
        <w:rPr>
          <w:rFonts w:ascii="Times New Roman" w:hAnsi="Times New Roman"/>
          <w:sz w:val="24"/>
          <w:szCs w:val="24"/>
        </w:rPr>
        <w:t xml:space="preserve">similar </w:t>
      </w:r>
      <w:r w:rsidRPr="002F60D2">
        <w:rPr>
          <w:rFonts w:ascii="Times New Roman" w:hAnsi="Times New Roman"/>
          <w:sz w:val="24"/>
          <w:szCs w:val="24"/>
        </w:rPr>
        <w:t xml:space="preserve">sentiments, but this would limit </w:t>
      </w:r>
      <w:r>
        <w:rPr>
          <w:rFonts w:ascii="Times New Roman" w:hAnsi="Times New Roman"/>
          <w:sz w:val="24"/>
          <w:szCs w:val="24"/>
        </w:rPr>
        <w:t xml:space="preserve">the </w:t>
      </w:r>
      <w:r w:rsidRPr="002F60D2">
        <w:rPr>
          <w:rFonts w:ascii="Times New Roman" w:hAnsi="Times New Roman"/>
          <w:sz w:val="24"/>
          <w:szCs w:val="24"/>
        </w:rPr>
        <w:t xml:space="preserve">horizons of meaning and understanding to </w:t>
      </w:r>
      <w:r>
        <w:rPr>
          <w:rFonts w:ascii="Times New Roman" w:hAnsi="Times New Roman"/>
          <w:sz w:val="24"/>
          <w:szCs w:val="24"/>
        </w:rPr>
        <w:t xml:space="preserve">only one’s </w:t>
      </w:r>
      <w:r w:rsidRPr="002F60D2">
        <w:rPr>
          <w:rFonts w:ascii="Times New Roman" w:hAnsi="Times New Roman"/>
          <w:sz w:val="24"/>
          <w:szCs w:val="24"/>
        </w:rPr>
        <w:t>own narrowly con</w:t>
      </w:r>
      <w:r>
        <w:rPr>
          <w:rFonts w:ascii="Times New Roman" w:hAnsi="Times New Roman"/>
          <w:sz w:val="24"/>
          <w:szCs w:val="24"/>
        </w:rPr>
        <w:t xml:space="preserve">ceived ideals.  Alternatively, the mutual </w:t>
      </w:r>
      <w:r w:rsidRPr="002F60D2">
        <w:rPr>
          <w:rFonts w:ascii="Times New Roman" w:hAnsi="Times New Roman"/>
          <w:sz w:val="24"/>
          <w:szCs w:val="24"/>
        </w:rPr>
        <w:t xml:space="preserve">dialogue </w:t>
      </w:r>
      <w:r>
        <w:rPr>
          <w:rFonts w:ascii="Times New Roman" w:hAnsi="Times New Roman"/>
          <w:sz w:val="24"/>
          <w:szCs w:val="24"/>
        </w:rPr>
        <w:t xml:space="preserve">around hermeneutical difference will allow for a fusion of perspectives, allowing one to hear and appreciate the greatness previously discredited in a musical performance or genre, while also fostering an appropriate environment for musical critique and growth. </w:t>
      </w:r>
    </w:p>
    <w:p w14:paraId="0196BEA6" w14:textId="77777777" w:rsidR="003A5692" w:rsidRDefault="003A5692" w:rsidP="003A5692">
      <w:pPr>
        <w:spacing w:after="0" w:line="480" w:lineRule="auto"/>
        <w:jc w:val="both"/>
        <w:rPr>
          <w:rFonts w:ascii="Times New Roman" w:hAnsi="Times New Roman"/>
          <w:sz w:val="24"/>
          <w:szCs w:val="24"/>
        </w:rPr>
      </w:pPr>
      <w:r w:rsidRPr="002F60D2">
        <w:rPr>
          <w:rFonts w:ascii="Times New Roman" w:hAnsi="Times New Roman"/>
          <w:sz w:val="24"/>
          <w:szCs w:val="24"/>
        </w:rPr>
        <w:tab/>
        <w:t xml:space="preserve">This dialogue, in macro form, is one manner </w:t>
      </w:r>
      <w:r>
        <w:rPr>
          <w:rFonts w:ascii="Times New Roman" w:hAnsi="Times New Roman"/>
          <w:sz w:val="24"/>
          <w:szCs w:val="24"/>
        </w:rPr>
        <w:t>through</w:t>
      </w:r>
      <w:r w:rsidRPr="002F60D2">
        <w:rPr>
          <w:rFonts w:ascii="Times New Roman" w:hAnsi="Times New Roman"/>
          <w:sz w:val="24"/>
          <w:szCs w:val="24"/>
        </w:rPr>
        <w:t xml:space="preserve"> which music becomes associat</w:t>
      </w:r>
      <w:r>
        <w:rPr>
          <w:rFonts w:ascii="Times New Roman" w:hAnsi="Times New Roman"/>
          <w:sz w:val="24"/>
          <w:szCs w:val="24"/>
        </w:rPr>
        <w:t>ed with the Christian tradition:</w:t>
      </w:r>
      <w:r w:rsidRPr="002F60D2">
        <w:rPr>
          <w:rFonts w:ascii="Times New Roman" w:hAnsi="Times New Roman"/>
          <w:sz w:val="24"/>
          <w:szCs w:val="24"/>
        </w:rPr>
        <w:t xml:space="preserve"> Music that is deemed to be good by an intercultural hermeneutic continues to be used throughout the life of the Church.</w:t>
      </w:r>
      <w:r w:rsidRPr="002F60D2">
        <w:rPr>
          <w:rStyle w:val="FootnoteReference"/>
          <w:rFonts w:ascii="Times New Roman" w:hAnsi="Times New Roman"/>
          <w:sz w:val="24"/>
          <w:szCs w:val="24"/>
        </w:rPr>
        <w:footnoteReference w:id="12"/>
      </w:r>
      <w:r w:rsidRPr="002F60D2">
        <w:rPr>
          <w:rFonts w:ascii="Times New Roman" w:hAnsi="Times New Roman"/>
          <w:sz w:val="24"/>
          <w:szCs w:val="24"/>
        </w:rPr>
        <w:t xml:space="preserve">  The music has local origins and is hermeneutical</w:t>
      </w:r>
      <w:r>
        <w:rPr>
          <w:rFonts w:ascii="Times New Roman" w:hAnsi="Times New Roman"/>
          <w:sz w:val="24"/>
          <w:szCs w:val="24"/>
        </w:rPr>
        <w:t xml:space="preserve">ly renewed in each performance; consequently, </w:t>
      </w:r>
      <w:r w:rsidRPr="002F60D2">
        <w:rPr>
          <w:rFonts w:ascii="Times New Roman" w:hAnsi="Times New Roman"/>
          <w:sz w:val="24"/>
          <w:szCs w:val="24"/>
        </w:rPr>
        <w:t xml:space="preserve">it is constantly evaluated for its ability to </w:t>
      </w:r>
      <w:r>
        <w:rPr>
          <w:rFonts w:ascii="Times New Roman" w:hAnsi="Times New Roman"/>
          <w:sz w:val="24"/>
          <w:szCs w:val="24"/>
        </w:rPr>
        <w:t xml:space="preserve">consonantly communicate the values of the Christian faith. </w:t>
      </w:r>
      <w:r w:rsidRPr="002F60D2">
        <w:rPr>
          <w:rFonts w:ascii="Times New Roman" w:hAnsi="Times New Roman"/>
          <w:sz w:val="24"/>
          <w:szCs w:val="24"/>
        </w:rPr>
        <w:t xml:space="preserve">At the same time, the dynamicity of culture </w:t>
      </w:r>
      <w:r>
        <w:rPr>
          <w:rFonts w:ascii="Times New Roman" w:hAnsi="Times New Roman"/>
          <w:sz w:val="24"/>
          <w:szCs w:val="24"/>
        </w:rPr>
        <w:t xml:space="preserve">ensures that the interpretation of a performance will always be somewhat conditioned.  This dynamicity of </w:t>
      </w:r>
      <w:r>
        <w:rPr>
          <w:rFonts w:ascii="Times New Roman" w:hAnsi="Times New Roman"/>
          <w:sz w:val="24"/>
          <w:szCs w:val="24"/>
        </w:rPr>
        <w:lastRenderedPageBreak/>
        <w:t xml:space="preserve">culture also </w:t>
      </w:r>
      <w:r w:rsidRPr="002F60D2">
        <w:rPr>
          <w:rFonts w:ascii="Times New Roman" w:hAnsi="Times New Roman"/>
          <w:sz w:val="24"/>
          <w:szCs w:val="24"/>
        </w:rPr>
        <w:t xml:space="preserve">allows the same song to be recast in new genres, timbres, and forms, </w:t>
      </w:r>
      <w:r>
        <w:rPr>
          <w:rFonts w:ascii="Times New Roman" w:hAnsi="Times New Roman"/>
          <w:sz w:val="24"/>
          <w:szCs w:val="24"/>
        </w:rPr>
        <w:t xml:space="preserve">just as the </w:t>
      </w:r>
      <w:r w:rsidRPr="002F60D2">
        <w:rPr>
          <w:rFonts w:ascii="Times New Roman" w:hAnsi="Times New Roman"/>
          <w:sz w:val="24"/>
          <w:szCs w:val="24"/>
        </w:rPr>
        <w:t>dynamicity of tradition allows new song genres, timbres, and forms to be included into the Church’s practice.  Thus</w:t>
      </w:r>
      <w:r>
        <w:rPr>
          <w:rFonts w:ascii="Times New Roman" w:hAnsi="Times New Roman"/>
          <w:sz w:val="24"/>
          <w:szCs w:val="24"/>
        </w:rPr>
        <w:t>,</w:t>
      </w:r>
      <w:r w:rsidRPr="002F60D2">
        <w:rPr>
          <w:rFonts w:ascii="Times New Roman" w:hAnsi="Times New Roman"/>
          <w:sz w:val="24"/>
          <w:szCs w:val="24"/>
        </w:rPr>
        <w:t xml:space="preserve"> there is music that, having been deemed “good” by the Church, exists as part of the church’s tradition; however</w:t>
      </w:r>
      <w:r w:rsidRPr="00AE1AF3">
        <w:rPr>
          <w:rFonts w:ascii="Times New Roman" w:hAnsi="Times New Roman"/>
          <w:sz w:val="24"/>
          <w:szCs w:val="24"/>
        </w:rPr>
        <w:t xml:space="preserve">, the dynamic nature of music, culture, and tradition ensure that “traditional” music is constantly in flux.  </w:t>
      </w:r>
      <w:r>
        <w:rPr>
          <w:rFonts w:ascii="Times New Roman" w:hAnsi="Times New Roman"/>
          <w:sz w:val="24"/>
          <w:szCs w:val="24"/>
        </w:rPr>
        <w:t xml:space="preserve">"Good" music may come and go from the tradition.  "Bad" music may occasionally be included in the tradition.  "Good" music may become "bad" in its dynamic hermeneutical negotiation and relevance to culture, and "bad" music may grow to become transcendently "good" even if not appreciated in its own generation. </w:t>
      </w:r>
    </w:p>
    <w:p w14:paraId="0F1C9570" w14:textId="77777777" w:rsidR="003A5692" w:rsidRDefault="003A5692" w:rsidP="003A5692">
      <w:pPr>
        <w:spacing w:after="0" w:line="480" w:lineRule="auto"/>
        <w:ind w:firstLine="720"/>
        <w:jc w:val="both"/>
        <w:rPr>
          <w:rFonts w:ascii="Times New Roman" w:hAnsi="Times New Roman"/>
          <w:sz w:val="24"/>
          <w:szCs w:val="24"/>
        </w:rPr>
      </w:pPr>
      <w:r w:rsidRPr="002F60D2">
        <w:rPr>
          <w:rFonts w:ascii="Times New Roman" w:hAnsi="Times New Roman"/>
          <w:sz w:val="24"/>
          <w:szCs w:val="24"/>
        </w:rPr>
        <w:t xml:space="preserve">In many ways, the notion of musical “genres” as such is a modern product, demonstrating the homogenous, compartmentalizing nature of modern thought: Baroque, Classical, Romantic, Serialism, and other familiar eras of modern music history are identified by a consistent time period, formal structure, melodic/harmonic </w:t>
      </w:r>
      <w:r>
        <w:rPr>
          <w:rFonts w:ascii="Times New Roman" w:hAnsi="Times New Roman"/>
          <w:sz w:val="24"/>
          <w:szCs w:val="24"/>
        </w:rPr>
        <w:t>character</w:t>
      </w:r>
      <w:r w:rsidRPr="002F60D2">
        <w:rPr>
          <w:rFonts w:ascii="Times New Roman" w:hAnsi="Times New Roman"/>
          <w:sz w:val="24"/>
          <w:szCs w:val="24"/>
        </w:rPr>
        <w:t xml:space="preserve">, and often geographical location.  </w:t>
      </w:r>
      <w:r w:rsidRPr="00AE1AF3">
        <w:rPr>
          <w:rFonts w:ascii="Times New Roman" w:hAnsi="Times New Roman"/>
          <w:sz w:val="24"/>
          <w:szCs w:val="24"/>
        </w:rPr>
        <w:t>Western Christian hymnody has the same trajectory, spanning from Reformation Chorales through Oxford and Victorian Hymns and into Revival hymns and Gospel Songs.</w:t>
      </w:r>
      <w:r w:rsidRPr="000372D7">
        <w:rPr>
          <w:rFonts w:ascii="Times New Roman" w:hAnsi="Times New Roman"/>
          <w:color w:val="C00000"/>
          <w:sz w:val="24"/>
          <w:szCs w:val="24"/>
        </w:rPr>
        <w:t xml:space="preserve">  </w:t>
      </w:r>
      <w:r w:rsidRPr="002F60D2">
        <w:rPr>
          <w:rFonts w:ascii="Times New Roman" w:hAnsi="Times New Roman"/>
          <w:sz w:val="24"/>
          <w:szCs w:val="24"/>
        </w:rPr>
        <w:t xml:space="preserve">Many Christian denominations have been established on a </w:t>
      </w:r>
      <w:r>
        <w:rPr>
          <w:rFonts w:ascii="Times New Roman" w:hAnsi="Times New Roman"/>
          <w:sz w:val="24"/>
          <w:szCs w:val="24"/>
        </w:rPr>
        <w:t>narrow</w:t>
      </w:r>
      <w:r w:rsidRPr="002F60D2">
        <w:rPr>
          <w:rFonts w:ascii="Times New Roman" w:hAnsi="Times New Roman"/>
          <w:sz w:val="24"/>
          <w:szCs w:val="24"/>
        </w:rPr>
        <w:t xml:space="preserve"> canon of hymnody and liturgical music, and in a modern cultural model, these canons participate in the distinguishing between various Christian communities</w:t>
      </w:r>
      <w:r>
        <w:rPr>
          <w:rFonts w:ascii="Times New Roman" w:hAnsi="Times New Roman"/>
          <w:sz w:val="24"/>
          <w:szCs w:val="24"/>
        </w:rPr>
        <w:t>.  Throughout the twentieth century</w:t>
      </w:r>
      <w:r w:rsidRPr="002F60D2">
        <w:rPr>
          <w:rFonts w:ascii="Times New Roman" w:hAnsi="Times New Roman"/>
          <w:sz w:val="24"/>
          <w:szCs w:val="24"/>
        </w:rPr>
        <w:t>, these boundaries have become</w:t>
      </w:r>
      <w:r>
        <w:rPr>
          <w:rFonts w:ascii="Times New Roman" w:hAnsi="Times New Roman"/>
          <w:sz w:val="24"/>
          <w:szCs w:val="24"/>
        </w:rPr>
        <w:t xml:space="preserve"> increasingly</w:t>
      </w:r>
      <w:r w:rsidRPr="002F60D2">
        <w:rPr>
          <w:rFonts w:ascii="Times New Roman" w:hAnsi="Times New Roman"/>
          <w:sz w:val="24"/>
          <w:szCs w:val="24"/>
        </w:rPr>
        <w:t xml:space="preserve"> blurred, </w:t>
      </w:r>
      <w:r>
        <w:rPr>
          <w:rFonts w:ascii="Times New Roman" w:hAnsi="Times New Roman"/>
          <w:sz w:val="24"/>
          <w:szCs w:val="24"/>
        </w:rPr>
        <w:t xml:space="preserve">both </w:t>
      </w:r>
      <w:r w:rsidRPr="002F60D2">
        <w:rPr>
          <w:rFonts w:ascii="Times New Roman" w:hAnsi="Times New Roman"/>
          <w:sz w:val="24"/>
          <w:szCs w:val="24"/>
        </w:rPr>
        <w:t xml:space="preserve">spawning new hybrid genres of music as well as </w:t>
      </w:r>
      <w:r>
        <w:rPr>
          <w:rFonts w:ascii="Times New Roman" w:hAnsi="Times New Roman"/>
          <w:sz w:val="24"/>
          <w:szCs w:val="24"/>
        </w:rPr>
        <w:t xml:space="preserve">facilitating </w:t>
      </w:r>
      <w:r w:rsidRPr="002F60D2">
        <w:rPr>
          <w:rFonts w:ascii="Times New Roman" w:hAnsi="Times New Roman"/>
          <w:sz w:val="24"/>
          <w:szCs w:val="24"/>
        </w:rPr>
        <w:t xml:space="preserve">the sharing of musical resources between communities.  The porous boundaries and more fragmented nature of these postmodern developments create new questions of communal identity, formation, and representation.  </w:t>
      </w:r>
    </w:p>
    <w:p w14:paraId="569DA6D4" w14:textId="77777777" w:rsidR="003A5692" w:rsidRDefault="003A5692" w:rsidP="003A5692">
      <w:pPr>
        <w:spacing w:after="0" w:line="480" w:lineRule="auto"/>
        <w:ind w:firstLine="720"/>
        <w:jc w:val="both"/>
        <w:rPr>
          <w:rFonts w:ascii="Times New Roman" w:hAnsi="Times New Roman"/>
          <w:sz w:val="24"/>
          <w:szCs w:val="24"/>
        </w:rPr>
      </w:pPr>
      <w:r>
        <w:rPr>
          <w:rFonts w:ascii="Times New Roman" w:hAnsi="Times New Roman"/>
          <w:sz w:val="24"/>
          <w:szCs w:val="24"/>
        </w:rPr>
        <w:t xml:space="preserve">Daniel Levitin also notes the practice of music listening as a uniquely Western phenomenon and cultural shift of the last half </w:t>
      </w:r>
      <w:r w:rsidRPr="0065188B">
        <w:rPr>
          <w:rFonts w:ascii="Times New Roman" w:hAnsi="Times New Roman"/>
          <w:sz w:val="24"/>
          <w:szCs w:val="24"/>
        </w:rPr>
        <w:t>century.</w:t>
      </w:r>
      <w:r w:rsidRPr="0065188B">
        <w:rPr>
          <w:rStyle w:val="FootnoteReference"/>
          <w:rFonts w:ascii="Times New Roman" w:hAnsi="Times New Roman"/>
          <w:sz w:val="24"/>
          <w:szCs w:val="24"/>
        </w:rPr>
        <w:footnoteReference w:id="13"/>
      </w:r>
      <w:r>
        <w:rPr>
          <w:rFonts w:ascii="Times New Roman" w:hAnsi="Times New Roman"/>
          <w:sz w:val="24"/>
          <w:szCs w:val="24"/>
        </w:rPr>
        <w:t xml:space="preserve">  The capacity to record music and, </w:t>
      </w:r>
      <w:r>
        <w:rPr>
          <w:rFonts w:ascii="Times New Roman" w:hAnsi="Times New Roman"/>
          <w:sz w:val="24"/>
          <w:szCs w:val="24"/>
        </w:rPr>
        <w:lastRenderedPageBreak/>
        <w:t xml:space="preserve">subsequently, to listen to recorded music, has changed the role of music in culture in a number of ways.  First, the present-day access to an unquantifiable amount of recorded music from various genres, cultural contexts, and time periods directly contributes to the cross-cultural and intercultural musical nature of many Western communities.  Second, access to recorded music has become increasingly individualized and personalized, redefining the way in which music builds community.  Third, the very act of listening to music as opposed to </w:t>
      </w:r>
      <w:r w:rsidRPr="001C26A8">
        <w:rPr>
          <w:rFonts w:ascii="Times New Roman" w:hAnsi="Times New Roman"/>
          <w:i/>
          <w:sz w:val="24"/>
          <w:szCs w:val="24"/>
        </w:rPr>
        <w:t>making</w:t>
      </w:r>
      <w:r>
        <w:rPr>
          <w:rFonts w:ascii="Times New Roman" w:hAnsi="Times New Roman"/>
          <w:sz w:val="24"/>
          <w:szCs w:val="24"/>
        </w:rPr>
        <w:t xml:space="preserve"> music, whether individually or in community, changes the dynamic of music and its role in the formation of the individual.  E. Byron Anderson notes the increased individualization of music consumption in the last few generations and the consequences of this shift not only for the hyper-individualized spirituality address above, but also for the role and function of music in the church as corporeal and communal.</w:t>
      </w:r>
      <w:r>
        <w:rPr>
          <w:rStyle w:val="FootnoteReference"/>
          <w:rFonts w:ascii="Times New Roman" w:hAnsi="Times New Roman"/>
          <w:sz w:val="24"/>
          <w:szCs w:val="24"/>
        </w:rPr>
        <w:footnoteReference w:id="14"/>
      </w:r>
      <w:r>
        <w:rPr>
          <w:rFonts w:ascii="Times New Roman" w:hAnsi="Times New Roman"/>
          <w:sz w:val="24"/>
          <w:szCs w:val="24"/>
        </w:rPr>
        <w:t xml:space="preserve">  Thus, culture and context affect how an individual and a community even engage music, and, consequently, how music affects and forms the community.  </w:t>
      </w:r>
    </w:p>
    <w:p w14:paraId="791600BF" w14:textId="77777777" w:rsidR="00797436" w:rsidRPr="00797436" w:rsidRDefault="00797436" w:rsidP="00797436">
      <w:pPr>
        <w:spacing w:after="0" w:line="480" w:lineRule="auto"/>
        <w:jc w:val="both"/>
        <w:rPr>
          <w:rFonts w:ascii="Times New Roman" w:hAnsi="Times New Roman"/>
          <w:b/>
          <w:sz w:val="24"/>
          <w:szCs w:val="24"/>
        </w:rPr>
      </w:pPr>
      <w:r>
        <w:rPr>
          <w:rFonts w:ascii="Times New Roman" w:hAnsi="Times New Roman"/>
          <w:b/>
          <w:sz w:val="24"/>
          <w:szCs w:val="24"/>
        </w:rPr>
        <w:t>Inculturation and intercultural hermeneutics</w:t>
      </w:r>
    </w:p>
    <w:p w14:paraId="5C278CEE" w14:textId="77777777" w:rsidR="003A5692" w:rsidRDefault="003A5692" w:rsidP="00797436">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model of intercultural hermeneutics and inculturation as meaning-making fosters a careful critique of the brokenness of culture that neither rejects cultural forms and rituals nor includes them uncritically.  </w:t>
      </w:r>
      <w:r w:rsidRPr="00AE1AF3">
        <w:rPr>
          <w:rFonts w:ascii="Times New Roman" w:hAnsi="Times New Roman"/>
          <w:sz w:val="24"/>
          <w:szCs w:val="24"/>
        </w:rPr>
        <w:t>This model assumes that the culture of the church is dynamic and inclusive, constantly forming the culture even as it is formed by the culture.  This model gives voice to those on the margins, working to foster liturgical egalitarianism.  This model is governed and guided by various loci of orthodoxy that work to foster collective agreement and liturgical continuity, a unity of confession that is not dependent on the uniformity of rites.</w:t>
      </w:r>
      <w:r w:rsidRPr="000372D7">
        <w:rPr>
          <w:rFonts w:ascii="Times New Roman" w:hAnsi="Times New Roman"/>
          <w:color w:val="C00000"/>
          <w:sz w:val="24"/>
          <w:szCs w:val="24"/>
        </w:rPr>
        <w:t xml:space="preserve"> </w:t>
      </w:r>
      <w:r>
        <w:rPr>
          <w:rFonts w:ascii="Times New Roman" w:hAnsi="Times New Roman"/>
          <w:sz w:val="24"/>
          <w:szCs w:val="24"/>
        </w:rPr>
        <w:t xml:space="preserve">This model also acknowledges that cultural “consonance” is itself hermeneutically and contextually conditioned, meaning that a certain set of practices or forms of inculturation might not be applicable across </w:t>
      </w:r>
      <w:r>
        <w:rPr>
          <w:rFonts w:ascii="Times New Roman" w:hAnsi="Times New Roman"/>
          <w:sz w:val="24"/>
          <w:szCs w:val="24"/>
        </w:rPr>
        <w:lastRenderedPageBreak/>
        <w:t xml:space="preserve">contexts.  This helps to prevent a cursory treatment of adiaphoric liturgical ritual, calling for the community to wisely steward their liturgical rituals in a way that enables cultural engagement without cultural capitulation.  Music, as a cultural form and language tool, is capable of communicating the Christian faith as well as other cultural “faiths.” It is the manner in which these interact—the manner in which consonant practices enrich both the faith and the culture </w:t>
      </w:r>
      <w:r w:rsidR="007D0288">
        <w:rPr>
          <w:rFonts w:ascii="Times New Roman" w:hAnsi="Times New Roman"/>
          <w:sz w:val="24"/>
          <w:szCs w:val="24"/>
        </w:rPr>
        <w:t>as well as</w:t>
      </w:r>
      <w:r>
        <w:rPr>
          <w:rFonts w:ascii="Times New Roman" w:hAnsi="Times New Roman"/>
          <w:sz w:val="24"/>
          <w:szCs w:val="24"/>
        </w:rPr>
        <w:t xml:space="preserve"> the manner in which dissonant practices challenge both the faith and the culture—that gives music its beauty and power. </w:t>
      </w:r>
    </w:p>
    <w:p w14:paraId="745675E0" w14:textId="77777777" w:rsidR="003A5692" w:rsidRPr="00AE1AF3" w:rsidRDefault="003A5692" w:rsidP="003A5692">
      <w:pPr>
        <w:spacing w:after="0" w:line="480" w:lineRule="auto"/>
        <w:ind w:firstLine="720"/>
        <w:jc w:val="both"/>
        <w:rPr>
          <w:rFonts w:ascii="Times New Roman" w:hAnsi="Times New Roman"/>
          <w:sz w:val="24"/>
          <w:szCs w:val="24"/>
        </w:rPr>
      </w:pPr>
      <w:r>
        <w:rPr>
          <w:rFonts w:ascii="Times New Roman" w:hAnsi="Times New Roman"/>
          <w:sz w:val="24"/>
          <w:szCs w:val="24"/>
        </w:rPr>
        <w:t>Thus, there is no transcultural music of the church; rather, the church’s performance of faith has been sustained through a variety of cultural musical forms throughout its history.  These forms are dynamic, even as there is some level of continuity from one generation to the next.  Likewise, there are no transcultural instruments, outside of the human voice (and even this might be expanded dynamically in communities for whom audible sound is not normative).  Rather, instrumentation, like musical forms, reflect the cultural and contextual patterns of the community. The church has a wide history of musical instruments that have served to sustain the human voice, and the tradition is dynamically inclusive of historical practice and fresh innovations.  The church as tradition perpetuates itself through musical forms and ritual behavior that are both historic and innovative, both “not entirely encoded by the performers” and self-referential, made new in each performance.</w:t>
      </w:r>
      <w:r>
        <w:rPr>
          <w:rStyle w:val="FootnoteReference"/>
          <w:rFonts w:ascii="Times New Roman" w:hAnsi="Times New Roman"/>
          <w:sz w:val="24"/>
          <w:szCs w:val="24"/>
        </w:rPr>
        <w:footnoteReference w:id="15"/>
      </w:r>
      <w:r>
        <w:rPr>
          <w:rFonts w:ascii="Times New Roman" w:hAnsi="Times New Roman"/>
          <w:sz w:val="24"/>
          <w:szCs w:val="24"/>
        </w:rPr>
        <w:t xml:space="preserve">  </w:t>
      </w:r>
      <w:r w:rsidRPr="00AE1AF3">
        <w:rPr>
          <w:rFonts w:ascii="Times New Roman" w:hAnsi="Times New Roman"/>
          <w:sz w:val="24"/>
          <w:szCs w:val="24"/>
        </w:rPr>
        <w:t xml:space="preserve">The Christian faith is made new in each generation both through old and new songs, old and new instruments, and old and new forms, all contextually sensitive towards engagement and enactment of the faith in local communities as representative of the continuity of tradition that is the Christian faith in every time and place. </w:t>
      </w:r>
    </w:p>
    <w:p w14:paraId="33F51666" w14:textId="77777777" w:rsidR="003A5692" w:rsidRPr="00AE1AF3" w:rsidRDefault="003A5692" w:rsidP="003A5692">
      <w:pPr>
        <w:spacing w:line="480" w:lineRule="auto"/>
        <w:rPr>
          <w:rFonts w:ascii="Times New Roman" w:hAnsi="Times New Roman"/>
          <w:sz w:val="24"/>
          <w:szCs w:val="24"/>
        </w:rPr>
      </w:pPr>
      <w:r>
        <w:rPr>
          <w:rFonts w:ascii="Times New Roman" w:hAnsi="Times New Roman"/>
          <w:sz w:val="24"/>
          <w:szCs w:val="24"/>
        </w:rPr>
        <w:lastRenderedPageBreak/>
        <w:tab/>
        <w:t xml:space="preserve">In light of all of this, the consideration of “good” and “bad” church music must be conditioned by these hermeneutical tensions: </w:t>
      </w:r>
      <w:r w:rsidRPr="00AE1AF3">
        <w:rPr>
          <w:rFonts w:ascii="Times New Roman" w:hAnsi="Times New Roman"/>
          <w:sz w:val="24"/>
          <w:szCs w:val="24"/>
        </w:rPr>
        <w:t>engaged with culture, seeking cultural consonance as place of exchange, open to cultural dissonance as reciprocal and mutual cultural critique, contextually conditioned with an understanding that various songs and genres may foster various meanings in various contexts, and mindful of tradition as enriched through continuity with historical practice and innovative incorporation of new practice.</w:t>
      </w:r>
      <w:r w:rsidR="009E6E45" w:rsidRPr="00AE1AF3">
        <w:rPr>
          <w:rFonts w:ascii="Times New Roman" w:hAnsi="Times New Roman"/>
          <w:sz w:val="24"/>
          <w:szCs w:val="24"/>
        </w:rPr>
        <w:t xml:space="preserve"> (7)</w:t>
      </w:r>
    </w:p>
    <w:p w14:paraId="5C6922FE" w14:textId="77777777" w:rsidR="003A5692" w:rsidRDefault="003A5692" w:rsidP="00B4596F">
      <w:pPr>
        <w:spacing w:after="0" w:line="480" w:lineRule="auto"/>
        <w:ind w:firstLine="720"/>
        <w:jc w:val="both"/>
        <w:rPr>
          <w:rFonts w:ascii="Times New Roman" w:hAnsi="Times New Roman" w:cs="Times New Roman"/>
          <w:sz w:val="24"/>
          <w:szCs w:val="24"/>
        </w:rPr>
      </w:pPr>
      <w:r w:rsidRPr="008E65A3">
        <w:rPr>
          <w:rFonts w:ascii="Times New Roman" w:hAnsi="Times New Roman" w:cs="Times New Roman"/>
          <w:sz w:val="24"/>
          <w:szCs w:val="24"/>
        </w:rPr>
        <w:t xml:space="preserve">The emotional and devotional capacity of music also holds great potential for intercultural exchange. Music as expression speaks in ways that mere words cannot.  Music as ritual teaches in ways beyond narrow cognition. Music as experience fosters ecumenism and community that political or ecclesial rhetoric can endorse but not achieve.  </w:t>
      </w:r>
      <w:r w:rsidRPr="009A348D">
        <w:rPr>
          <w:rFonts w:ascii="Times New Roman" w:hAnsi="Times New Roman" w:cs="Times New Roman"/>
          <w:color w:val="C00000"/>
          <w:sz w:val="24"/>
          <w:szCs w:val="24"/>
        </w:rPr>
        <w:t>This type of intercultural musical exchange is not merely cultural tokenism, where various cultural and especially musical elements might be juxtaposed against one another for the sake of token diversity.</w:t>
      </w:r>
      <w:r>
        <w:rPr>
          <w:rFonts w:ascii="Times New Roman" w:hAnsi="Times New Roman" w:cs="Times New Roman"/>
          <w:sz w:val="24"/>
          <w:szCs w:val="24"/>
        </w:rPr>
        <w:t xml:space="preserve">  Rather, communities foster</w:t>
      </w:r>
      <w:r w:rsidRPr="008E65A3">
        <w:rPr>
          <w:rFonts w:ascii="Times New Roman" w:hAnsi="Times New Roman" w:cs="Times New Roman"/>
          <w:sz w:val="24"/>
          <w:szCs w:val="24"/>
        </w:rPr>
        <w:t xml:space="preserve"> a shared unity based on the expression of humanity that comes through God’s gift of music.  Music joins voices together audibly, joins people together corporeally, joins cultures together ritually, and joins the church together universally. This kind of intercultural exchange is also open to the range of emotions and enactments—the unity fostered by music is not simply “joyful” or “happy.”  Rather, music can speak powerfully as voice of lament, voice of anger, voice of loss.  Intercultural musical exchange can also intentionally critique exercises of power and privilege, giving voice to the margins of Christian practice that may be hegemonically silenced otherwise.  Music especially has the capacity to nuance the assumption of “reverence” held by </w:t>
      </w:r>
      <w:r w:rsidR="003C1ABE">
        <w:rPr>
          <w:rFonts w:ascii="Times New Roman" w:hAnsi="Times New Roman" w:cs="Times New Roman"/>
          <w:sz w:val="24"/>
          <w:szCs w:val="24"/>
        </w:rPr>
        <w:t xml:space="preserve">many. </w:t>
      </w:r>
      <w:r w:rsidRPr="008E65A3">
        <w:rPr>
          <w:rFonts w:ascii="Times New Roman" w:hAnsi="Times New Roman" w:cs="Times New Roman"/>
          <w:sz w:val="24"/>
          <w:szCs w:val="24"/>
        </w:rPr>
        <w:t xml:space="preserve">“Reverence,” as </w:t>
      </w:r>
      <w:r>
        <w:rPr>
          <w:rFonts w:ascii="Times New Roman" w:hAnsi="Times New Roman" w:cs="Times New Roman"/>
          <w:sz w:val="24"/>
          <w:szCs w:val="24"/>
        </w:rPr>
        <w:t>a form</w:t>
      </w:r>
      <w:r w:rsidRPr="008E65A3">
        <w:rPr>
          <w:rFonts w:ascii="Times New Roman" w:hAnsi="Times New Roman" w:cs="Times New Roman"/>
          <w:sz w:val="24"/>
          <w:szCs w:val="24"/>
        </w:rPr>
        <w:t xml:space="preserve"> of intercultural hermeneutical exchange, might be loud, might be emotional, might be unsettling.  Reverence is achieved in the invested participation of the community in the enactment of faith as discipleship for the world.  Thus, instead of reverence </w:t>
      </w:r>
      <w:r w:rsidRPr="008E65A3">
        <w:rPr>
          <w:rFonts w:ascii="Times New Roman" w:hAnsi="Times New Roman" w:cs="Times New Roman"/>
          <w:sz w:val="24"/>
          <w:szCs w:val="24"/>
        </w:rPr>
        <w:lastRenderedPageBreak/>
        <w:t xml:space="preserve">implying a kind of “set-apartness” from the world, reverence is best served to look like the discipled life—in ritual and habit, in </w:t>
      </w:r>
      <w:r>
        <w:rPr>
          <w:rFonts w:ascii="Times New Roman" w:hAnsi="Times New Roman" w:cs="Times New Roman"/>
          <w:sz w:val="24"/>
          <w:szCs w:val="24"/>
        </w:rPr>
        <w:t>speech</w:t>
      </w:r>
      <w:r w:rsidRPr="008E65A3">
        <w:rPr>
          <w:rFonts w:ascii="Times New Roman" w:hAnsi="Times New Roman" w:cs="Times New Roman"/>
          <w:sz w:val="24"/>
          <w:szCs w:val="24"/>
        </w:rPr>
        <w:t>, and in music. The devotional understanding of music in the church shifts the paradigm of rever</w:t>
      </w:r>
      <w:r w:rsidRPr="000C57D2">
        <w:rPr>
          <w:rFonts w:ascii="Times New Roman" w:hAnsi="Times New Roman" w:cs="Times New Roman"/>
          <w:sz w:val="24"/>
          <w:szCs w:val="24"/>
        </w:rPr>
        <w:t xml:space="preserve">ence away from the assumed Roman stoicism to an </w:t>
      </w:r>
      <w:proofErr w:type="spellStart"/>
      <w:r w:rsidRPr="000C57D2">
        <w:rPr>
          <w:rFonts w:ascii="Times New Roman" w:hAnsi="Times New Roman" w:cs="Times New Roman"/>
          <w:sz w:val="24"/>
          <w:szCs w:val="24"/>
        </w:rPr>
        <w:t>inculturated</w:t>
      </w:r>
      <w:proofErr w:type="spellEnd"/>
      <w:r w:rsidRPr="000C57D2">
        <w:rPr>
          <w:rFonts w:ascii="Times New Roman" w:hAnsi="Times New Roman" w:cs="Times New Roman"/>
          <w:sz w:val="24"/>
          <w:szCs w:val="24"/>
        </w:rPr>
        <w:t xml:space="preserve"> reflection of the human life.</w:t>
      </w:r>
    </w:p>
    <w:p w14:paraId="48703F3E" w14:textId="77777777" w:rsidR="003A5692" w:rsidRDefault="003A5692" w:rsidP="003A5692">
      <w:pPr>
        <w:spacing w:line="480" w:lineRule="auto"/>
      </w:pPr>
    </w:p>
    <w:sectPr w:rsidR="003A56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4C7A0" w14:textId="77777777" w:rsidR="00E9286C" w:rsidRDefault="00E9286C" w:rsidP="003A5692">
      <w:pPr>
        <w:spacing w:after="0" w:line="240" w:lineRule="auto"/>
      </w:pPr>
      <w:r>
        <w:separator/>
      </w:r>
    </w:p>
  </w:endnote>
  <w:endnote w:type="continuationSeparator" w:id="0">
    <w:p w14:paraId="01A45B22" w14:textId="77777777" w:rsidR="00E9286C" w:rsidRDefault="00E9286C" w:rsidP="003A5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altName w:val="¢®E¡ËcE¡Ë¢çEcE¡Ë¢çE¢®EcEcE¡Ë¢çE"/>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09C93" w14:textId="77777777" w:rsidR="00E9286C" w:rsidRDefault="00E9286C" w:rsidP="003A5692">
      <w:pPr>
        <w:spacing w:after="0" w:line="240" w:lineRule="auto"/>
      </w:pPr>
      <w:r>
        <w:separator/>
      </w:r>
    </w:p>
  </w:footnote>
  <w:footnote w:type="continuationSeparator" w:id="0">
    <w:p w14:paraId="0D810DE3" w14:textId="77777777" w:rsidR="00E9286C" w:rsidRDefault="00E9286C" w:rsidP="003A5692">
      <w:pPr>
        <w:spacing w:after="0" w:line="240" w:lineRule="auto"/>
      </w:pPr>
      <w:r>
        <w:continuationSeparator/>
      </w:r>
    </w:p>
  </w:footnote>
  <w:footnote w:id="1">
    <w:p w14:paraId="5699E87C" w14:textId="77777777" w:rsidR="00065DEF" w:rsidRPr="006D3306" w:rsidRDefault="00065DEF" w:rsidP="00065DEF">
      <w:pPr>
        <w:pStyle w:val="NoSpacing"/>
        <w:ind w:firstLine="720"/>
      </w:pPr>
      <w:r>
        <w:rPr>
          <w:rStyle w:val="FootnoteReference"/>
        </w:rPr>
        <w:footnoteRef/>
      </w:r>
      <w:r w:rsidRPr="00065DEF">
        <w:rPr>
          <w:rFonts w:ascii="Times New Roman" w:hAnsi="Times New Roman" w:cs="Times New Roman"/>
          <w:sz w:val="20"/>
          <w:szCs w:val="20"/>
        </w:rPr>
        <w:t>Note: Th</w:t>
      </w:r>
      <w:r w:rsidR="003570E7">
        <w:rPr>
          <w:rFonts w:ascii="Times New Roman" w:hAnsi="Times New Roman" w:cs="Times New Roman"/>
          <w:sz w:val="20"/>
          <w:szCs w:val="20"/>
        </w:rPr>
        <w:t xml:space="preserve">e content of this </w:t>
      </w:r>
      <w:r w:rsidRPr="00065DEF">
        <w:rPr>
          <w:rFonts w:ascii="Times New Roman" w:hAnsi="Times New Roman" w:cs="Times New Roman"/>
          <w:sz w:val="20"/>
          <w:szCs w:val="20"/>
        </w:rPr>
        <w:t xml:space="preserve">essay is borrowed and slightly altered from my 2017 dissertation project: </w:t>
      </w:r>
      <w:r w:rsidR="009E3077">
        <w:rPr>
          <w:rFonts w:ascii="Times New Roman" w:hAnsi="Times New Roman" w:cs="Times New Roman"/>
          <w:i/>
          <w:sz w:val="20"/>
          <w:szCs w:val="20"/>
        </w:rPr>
        <w:t xml:space="preserve">Reframing the Worship Wars in the Lutheran Church-Missouri Synod: An Analysis of Ordo and Music Through the Lens of Inculturation and Intercultural Hermeneutics. </w:t>
      </w:r>
    </w:p>
  </w:footnote>
  <w:footnote w:id="2">
    <w:p w14:paraId="6978C9D7" w14:textId="77777777" w:rsidR="003A5692" w:rsidRDefault="003A5692" w:rsidP="003A5692">
      <w:pPr>
        <w:pStyle w:val="FootnoteText"/>
        <w:ind w:firstLine="720"/>
      </w:pPr>
      <w:r>
        <w:rPr>
          <w:rStyle w:val="FootnoteReference"/>
        </w:rPr>
        <w:footnoteRef/>
      </w:r>
      <w:r w:rsidR="001F6CF6">
        <w:t xml:space="preserve">Albert L. Blackwell, </w:t>
      </w:r>
      <w:r w:rsidR="001F6CF6">
        <w:rPr>
          <w:i/>
        </w:rPr>
        <w:t xml:space="preserve">The Sacred in Music </w:t>
      </w:r>
      <w:r w:rsidR="001F6CF6">
        <w:t xml:space="preserve">(Louisville: Westminster John Knox Press, 1999), </w:t>
      </w:r>
      <w:r>
        <w:t xml:space="preserve">16 and 47.   </w:t>
      </w:r>
      <w:r>
        <w:tab/>
      </w:r>
    </w:p>
  </w:footnote>
  <w:footnote w:id="3">
    <w:p w14:paraId="59E4336A" w14:textId="77777777" w:rsidR="003A5692" w:rsidRDefault="003A5692" w:rsidP="003A5692">
      <w:pPr>
        <w:pStyle w:val="FootnoteText"/>
        <w:ind w:firstLine="720"/>
      </w:pPr>
      <w:r>
        <w:rPr>
          <w:rStyle w:val="FootnoteReference"/>
        </w:rPr>
        <w:footnoteRef/>
      </w:r>
      <w:r>
        <w:t xml:space="preserve">I say more about this in a previous section of my dissertation.  </w:t>
      </w:r>
    </w:p>
  </w:footnote>
  <w:footnote w:id="4">
    <w:p w14:paraId="22956272" w14:textId="77777777" w:rsidR="00EB725F" w:rsidRDefault="00EB725F" w:rsidP="00EB725F">
      <w:pPr>
        <w:pStyle w:val="FootnoteText"/>
        <w:ind w:firstLine="720"/>
      </w:pPr>
      <w:r>
        <w:rPr>
          <w:rStyle w:val="FootnoteReference"/>
        </w:rPr>
        <w:footnoteRef/>
      </w:r>
      <w:r>
        <w:t xml:space="preserve">Peter Phan, “Liturgical Inculturation: Unity in Diversity in the Postmodern Age” in Keith </w:t>
      </w:r>
      <w:proofErr w:type="spellStart"/>
      <w:r>
        <w:t>Pecklers</w:t>
      </w:r>
      <w:proofErr w:type="spellEnd"/>
      <w:r>
        <w:t xml:space="preserve">, ed. </w:t>
      </w:r>
      <w:r>
        <w:rPr>
          <w:i/>
        </w:rPr>
        <w:t>Liturgy in a Postmodern World</w:t>
      </w:r>
      <w:r>
        <w:t xml:space="preserve"> (New York: Continuum, 2003), 76. </w:t>
      </w:r>
    </w:p>
  </w:footnote>
  <w:footnote w:id="5">
    <w:p w14:paraId="57EE6955" w14:textId="77777777" w:rsidR="003A5692" w:rsidRDefault="003A5692" w:rsidP="003A5692">
      <w:pPr>
        <w:pStyle w:val="FootnoteText"/>
        <w:ind w:firstLine="720"/>
      </w:pPr>
      <w:r>
        <w:rPr>
          <w:rStyle w:val="FootnoteReference"/>
        </w:rPr>
        <w:footnoteRef/>
      </w:r>
      <w:r>
        <w:t xml:space="preserve">Blackwell, </w:t>
      </w:r>
      <w:r>
        <w:rPr>
          <w:i/>
        </w:rPr>
        <w:t xml:space="preserve">Sacred in Music, </w:t>
      </w:r>
      <w:r>
        <w:t xml:space="preserve">17. The categories “good” and “bad” here are used in terms of music aesthetics, both in terms of taste and of cultural formation, rather than on “virtuosic” or “incompetent” performances. </w:t>
      </w:r>
    </w:p>
  </w:footnote>
  <w:footnote w:id="6">
    <w:p w14:paraId="704BCB60" w14:textId="77777777" w:rsidR="003A5692" w:rsidRDefault="003A5692" w:rsidP="003A5692">
      <w:pPr>
        <w:pStyle w:val="FootnoteText"/>
        <w:ind w:firstLine="720"/>
      </w:pPr>
      <w:r w:rsidRPr="006E710F">
        <w:rPr>
          <w:rStyle w:val="FootnoteReference"/>
        </w:rPr>
        <w:footnoteRef/>
      </w:r>
      <w:r w:rsidRPr="006E710F">
        <w:t xml:space="preserve">See Blackwell, </w:t>
      </w:r>
      <w:r w:rsidRPr="006E710F">
        <w:rPr>
          <w:i/>
        </w:rPr>
        <w:t xml:space="preserve">Sacred in Music, </w:t>
      </w:r>
      <w:r w:rsidRPr="006E710F">
        <w:t xml:space="preserve">49-124 for the </w:t>
      </w:r>
      <w:r>
        <w:t>f</w:t>
      </w:r>
      <w:r w:rsidRPr="006E710F">
        <w:t xml:space="preserve">ormation of his notion of musical perfection around the universal Pythagorean principles of music.  </w:t>
      </w:r>
    </w:p>
  </w:footnote>
  <w:footnote w:id="7">
    <w:p w14:paraId="26C6187D" w14:textId="77777777" w:rsidR="003A5692" w:rsidRDefault="003A5692" w:rsidP="003A5692">
      <w:pPr>
        <w:pStyle w:val="FootnoteText"/>
        <w:ind w:firstLine="720"/>
      </w:pPr>
      <w:r>
        <w:rPr>
          <w:rStyle w:val="FootnoteReference"/>
        </w:rPr>
        <w:footnoteRef/>
      </w:r>
      <w:r>
        <w:t xml:space="preserve">Blackwell, </w:t>
      </w:r>
      <w:r>
        <w:rPr>
          <w:i/>
        </w:rPr>
        <w:t xml:space="preserve">Sacred in Music, </w:t>
      </w:r>
      <w:r>
        <w:t>17.</w:t>
      </w:r>
    </w:p>
  </w:footnote>
  <w:footnote w:id="8">
    <w:p w14:paraId="18A63B92" w14:textId="77777777" w:rsidR="003A5692" w:rsidRDefault="003A5692" w:rsidP="003A5692">
      <w:pPr>
        <w:pStyle w:val="FootnoteText"/>
        <w:ind w:firstLine="720"/>
      </w:pPr>
      <w:r>
        <w:rPr>
          <w:rStyle w:val="FootnoteReference"/>
        </w:rPr>
        <w:footnoteRef/>
      </w:r>
      <w:r>
        <w:t xml:space="preserve">Blackwell, </w:t>
      </w:r>
      <w:r>
        <w:rPr>
          <w:i/>
        </w:rPr>
        <w:t xml:space="preserve">Sacred in Music, </w:t>
      </w:r>
      <w:r>
        <w:t xml:space="preserve">153. </w:t>
      </w:r>
    </w:p>
  </w:footnote>
  <w:footnote w:id="9">
    <w:p w14:paraId="3C480071" w14:textId="77777777" w:rsidR="003A5692" w:rsidRDefault="003A5692" w:rsidP="003A5692">
      <w:pPr>
        <w:pStyle w:val="FootnoteText"/>
        <w:ind w:firstLine="720"/>
      </w:pPr>
      <w:r>
        <w:rPr>
          <w:rStyle w:val="FootnoteReference"/>
        </w:rPr>
        <w:footnoteRef/>
      </w:r>
      <w:r>
        <w:t xml:space="preserve">Blackwell, </w:t>
      </w:r>
      <w:r>
        <w:rPr>
          <w:i/>
        </w:rPr>
        <w:t xml:space="preserve">Sacred in Music, </w:t>
      </w:r>
      <w:r>
        <w:t xml:space="preserve">17. </w:t>
      </w:r>
    </w:p>
  </w:footnote>
  <w:footnote w:id="10">
    <w:p w14:paraId="3145D5EE" w14:textId="77777777" w:rsidR="003A5692" w:rsidRDefault="003A5692" w:rsidP="003A5692">
      <w:pPr>
        <w:pStyle w:val="FootnoteText"/>
        <w:ind w:firstLine="720"/>
      </w:pPr>
      <w:r>
        <w:rPr>
          <w:rStyle w:val="FootnoteReference"/>
        </w:rPr>
        <w:footnoteRef/>
      </w:r>
      <w:r>
        <w:t xml:space="preserve">Blackwell, </w:t>
      </w:r>
      <w:r>
        <w:rPr>
          <w:i/>
        </w:rPr>
        <w:t xml:space="preserve">Sacred in Music, </w:t>
      </w:r>
      <w:r>
        <w:t xml:space="preserve">33. </w:t>
      </w:r>
    </w:p>
  </w:footnote>
  <w:footnote w:id="11">
    <w:p w14:paraId="5F2CCDFF" w14:textId="77777777" w:rsidR="003A5692" w:rsidRDefault="003A5692" w:rsidP="003A5692">
      <w:pPr>
        <w:pStyle w:val="FootnoteText"/>
        <w:ind w:firstLine="720"/>
      </w:pPr>
      <w:r>
        <w:rPr>
          <w:rStyle w:val="FootnoteReference"/>
        </w:rPr>
        <w:footnoteRef/>
      </w:r>
      <w:r>
        <w:t xml:space="preserve">Blackwell, </w:t>
      </w:r>
      <w:r>
        <w:rPr>
          <w:i/>
        </w:rPr>
        <w:t xml:space="preserve">Sacred in Music, </w:t>
      </w:r>
      <w:r>
        <w:t xml:space="preserve">122.   </w:t>
      </w:r>
    </w:p>
  </w:footnote>
  <w:footnote w:id="12">
    <w:p w14:paraId="54E794DD" w14:textId="77777777" w:rsidR="003A5692" w:rsidRDefault="003A5692" w:rsidP="003A5692">
      <w:pPr>
        <w:pStyle w:val="FootnoteText"/>
        <w:ind w:firstLine="720"/>
      </w:pPr>
      <w:r>
        <w:rPr>
          <w:rStyle w:val="FootnoteReference"/>
        </w:rPr>
        <w:footnoteRef/>
      </w:r>
      <w:r>
        <w:t xml:space="preserve">This is not to deny the role of authoritative ecclesial power in much of sacred music’s retention or dismissal throughout the history of the Church. </w:t>
      </w:r>
    </w:p>
  </w:footnote>
  <w:footnote w:id="13">
    <w:p w14:paraId="5346CB55" w14:textId="77777777" w:rsidR="003A5692" w:rsidRDefault="003A5692" w:rsidP="003A5692">
      <w:pPr>
        <w:pStyle w:val="FootnoteText"/>
        <w:ind w:firstLine="720"/>
      </w:pPr>
      <w:r>
        <w:rPr>
          <w:rStyle w:val="FootnoteReference"/>
        </w:rPr>
        <w:footnoteRef/>
      </w:r>
      <w:r w:rsidRPr="007C1613">
        <w:t>Dan</w:t>
      </w:r>
      <w:r>
        <w:t>iel</w:t>
      </w:r>
      <w:r w:rsidRPr="007C1613">
        <w:t xml:space="preserve"> Levitin </w:t>
      </w:r>
      <w:r w:rsidRPr="007C1613">
        <w:rPr>
          <w:i/>
        </w:rPr>
        <w:t>This is Your Brain on Music</w:t>
      </w:r>
      <w:r w:rsidRPr="007C1613">
        <w:t xml:space="preserve"> (New York: Plume, 2007)</w:t>
      </w:r>
      <w:r>
        <w:t>, 7</w:t>
      </w:r>
      <w:r w:rsidR="003570E7">
        <w:t>.</w:t>
      </w:r>
      <w:r>
        <w:t xml:space="preserve"> </w:t>
      </w:r>
    </w:p>
  </w:footnote>
  <w:footnote w:id="14">
    <w:p w14:paraId="5DF36F0B" w14:textId="77777777" w:rsidR="003A5692" w:rsidRPr="00B355E8" w:rsidRDefault="003A5692" w:rsidP="003A5692">
      <w:pPr>
        <w:pStyle w:val="FootnoteText"/>
        <w:ind w:firstLine="720"/>
      </w:pPr>
      <w:r w:rsidRPr="00B355E8">
        <w:rPr>
          <w:rStyle w:val="FootnoteReference"/>
        </w:rPr>
        <w:footnoteRef/>
      </w:r>
      <w:r>
        <w:t>E. Byron</w:t>
      </w:r>
      <w:r w:rsidRPr="00B355E8">
        <w:t xml:space="preserve"> Anderson, “Music and Meaning for the ‘Spiritual but not </w:t>
      </w:r>
      <w:r w:rsidR="003570E7" w:rsidRPr="00316B24">
        <w:t>Religious</w:t>
      </w:r>
      <w:r w:rsidR="003570E7">
        <w:t>,</w:t>
      </w:r>
      <w:r w:rsidR="003570E7" w:rsidRPr="00316B24">
        <w:t xml:space="preserve">’” </w:t>
      </w:r>
      <w:r w:rsidR="003570E7" w:rsidRPr="00316B24">
        <w:rPr>
          <w:i/>
        </w:rPr>
        <w:t>Liturgy</w:t>
      </w:r>
      <w:r w:rsidR="003570E7" w:rsidRPr="00316B24">
        <w:t xml:space="preserve">, 30:3 (2015), </w:t>
      </w:r>
      <w:r w:rsidRPr="00B355E8">
        <w:t xml:space="preserve">20.  </w:t>
      </w:r>
    </w:p>
  </w:footnote>
  <w:footnote w:id="15">
    <w:p w14:paraId="5EF7D9CD" w14:textId="77777777" w:rsidR="003A5692" w:rsidRDefault="003A5692" w:rsidP="003A5692">
      <w:pPr>
        <w:pStyle w:val="FootnoteText"/>
        <w:ind w:firstLine="720"/>
      </w:pPr>
      <w:r>
        <w:rPr>
          <w:rStyle w:val="FootnoteReference"/>
        </w:rPr>
        <w:footnoteRef/>
      </w:r>
      <w:r>
        <w:t xml:space="preserve">Rappaport, </w:t>
      </w:r>
      <w:r>
        <w:rPr>
          <w:i/>
        </w:rPr>
        <w:t>Ritual and Religion in the Making of Humanity</w:t>
      </w:r>
      <w:r>
        <w:t>, 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92"/>
    <w:rsid w:val="000372D7"/>
    <w:rsid w:val="00065DEF"/>
    <w:rsid w:val="001656B1"/>
    <w:rsid w:val="001F6CF6"/>
    <w:rsid w:val="003570E7"/>
    <w:rsid w:val="003A5692"/>
    <w:rsid w:val="003C1ABE"/>
    <w:rsid w:val="00402854"/>
    <w:rsid w:val="00413F6D"/>
    <w:rsid w:val="006335A4"/>
    <w:rsid w:val="006D3306"/>
    <w:rsid w:val="00797436"/>
    <w:rsid w:val="007D0288"/>
    <w:rsid w:val="008A69BF"/>
    <w:rsid w:val="00986DA7"/>
    <w:rsid w:val="009A348D"/>
    <w:rsid w:val="009D72DF"/>
    <w:rsid w:val="009E3077"/>
    <w:rsid w:val="009E4ACB"/>
    <w:rsid w:val="009E6E45"/>
    <w:rsid w:val="00AE0EAB"/>
    <w:rsid w:val="00AE1AF3"/>
    <w:rsid w:val="00B4596F"/>
    <w:rsid w:val="00B56504"/>
    <w:rsid w:val="00E9286C"/>
    <w:rsid w:val="00EB0662"/>
    <w:rsid w:val="00EB725F"/>
    <w:rsid w:val="00F612BD"/>
    <w:rsid w:val="00FB1F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ACA3"/>
  <w15:chartTrackingRefBased/>
  <w15:docId w15:val="{9ACCEC05-CDCE-4908-940A-B1488BFA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A5692"/>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3A5692"/>
    <w:rPr>
      <w:rFonts w:ascii="Times New Roman" w:eastAsia="Calibri" w:hAnsi="Times New Roman" w:cs="Times New Roman"/>
      <w:sz w:val="20"/>
      <w:szCs w:val="20"/>
    </w:rPr>
  </w:style>
  <w:style w:type="character" w:styleId="FootnoteReference">
    <w:name w:val="footnote reference"/>
    <w:semiHidden/>
    <w:rsid w:val="003A5692"/>
    <w:rPr>
      <w:rFonts w:cs="Times New Roman"/>
      <w:vertAlign w:val="superscript"/>
    </w:rPr>
  </w:style>
  <w:style w:type="paragraph" w:styleId="NoSpacing">
    <w:name w:val="No Spacing"/>
    <w:uiPriority w:val="1"/>
    <w:qFormat/>
    <w:rsid w:val="00065D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0F0DB-404F-408E-9C50-028C3CBC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CSL</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Marriott, James</dc:creator>
  <cp:keywords/>
  <dc:description/>
  <cp:lastModifiedBy>Eunjoo Kim</cp:lastModifiedBy>
  <cp:revision>3</cp:revision>
  <dcterms:created xsi:type="dcterms:W3CDTF">2019-12-30T21:17:00Z</dcterms:created>
  <dcterms:modified xsi:type="dcterms:W3CDTF">2021-04-05T20:24:00Z</dcterms:modified>
</cp:coreProperties>
</file>