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D4C9" w14:textId="77777777" w:rsidR="005B0DAD" w:rsidRDefault="005B0DAD" w:rsidP="00AF1DFC">
      <w:pPr>
        <w:rPr>
          <w:b/>
          <w:bCs/>
          <w:sz w:val="28"/>
          <w:szCs w:val="28"/>
        </w:rPr>
      </w:pPr>
    </w:p>
    <w:p w14:paraId="7EC1B4E7" w14:textId="77777777" w:rsidR="005B0DAD" w:rsidRDefault="005B0DAD" w:rsidP="005B0DAD">
      <w:pPr>
        <w:jc w:val="center"/>
        <w:rPr>
          <w:sz w:val="36"/>
        </w:rPr>
      </w:pPr>
    </w:p>
    <w:p w14:paraId="6845FB99" w14:textId="77777777" w:rsidR="005B0DAD" w:rsidRPr="0044689B" w:rsidRDefault="005B0DAD" w:rsidP="005B0DAD">
      <w:pPr>
        <w:ind w:left="-144" w:right="-144"/>
        <w:rPr>
          <w:rFonts w:ascii="Baskerville Old Face" w:hAnsi="Baskerville Old Face"/>
          <w:sz w:val="20"/>
          <w:szCs w:val="20"/>
        </w:rPr>
      </w:pPr>
      <w:proofErr w:type="spellStart"/>
      <w:r w:rsidRPr="0044689B">
        <w:rPr>
          <w:bCs/>
          <w:i/>
          <w:color w:val="000000"/>
          <w:sz w:val="20"/>
          <w:szCs w:val="20"/>
        </w:rPr>
        <w:t>En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 ego </w:t>
      </w:r>
      <w:proofErr w:type="spellStart"/>
      <w:r w:rsidRPr="0044689B">
        <w:rPr>
          <w:bCs/>
          <w:i/>
          <w:color w:val="000000"/>
          <w:sz w:val="20"/>
          <w:szCs w:val="20"/>
        </w:rPr>
        <w:t>tempestas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, ego </w:t>
      </w:r>
      <w:proofErr w:type="spellStart"/>
      <w:r w:rsidRPr="0044689B">
        <w:rPr>
          <w:bCs/>
          <w:i/>
          <w:color w:val="000000"/>
          <w:sz w:val="20"/>
          <w:szCs w:val="20"/>
        </w:rPr>
        <w:t>tota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44689B">
        <w:rPr>
          <w:bCs/>
          <w:i/>
          <w:color w:val="000000"/>
          <w:sz w:val="20"/>
          <w:szCs w:val="20"/>
        </w:rPr>
        <w:t>insania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 mundi,</w:t>
      </w:r>
      <w:r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ab/>
        <w:t xml:space="preserve">     </w:t>
      </w:r>
      <w:r w:rsidRPr="0044689B">
        <w:rPr>
          <w:rFonts w:ascii="Baskerville Old Face" w:hAnsi="Baskerville Old Face"/>
          <w:sz w:val="20"/>
          <w:szCs w:val="20"/>
        </w:rPr>
        <w:t>Behold I am the tempest, I am all the madness of the world</w:t>
      </w:r>
    </w:p>
    <w:p w14:paraId="5FD21C2F" w14:textId="77777777" w:rsidR="005B0DAD" w:rsidRPr="0044689B" w:rsidRDefault="005B0DAD" w:rsidP="005B0DAD">
      <w:pPr>
        <w:pStyle w:val="NormalWeb"/>
        <w:spacing w:beforeLines="0" w:afterLines="0"/>
        <w:ind w:left="-144" w:right="-144"/>
        <w:rPr>
          <w:rFonts w:ascii="Baskerville Old Face" w:hAnsi="Baskerville Old Face"/>
        </w:rPr>
      </w:pPr>
      <w:r w:rsidRPr="0044689B">
        <w:rPr>
          <w:bCs/>
          <w:i/>
          <w:color w:val="000000"/>
        </w:rPr>
        <w:t xml:space="preserve">In me, </w:t>
      </w:r>
      <w:proofErr w:type="spellStart"/>
      <w:r w:rsidRPr="0044689B">
        <w:rPr>
          <w:bCs/>
          <w:i/>
          <w:color w:val="000000"/>
        </w:rPr>
        <w:t>inquit</w:t>
      </w:r>
      <w:proofErr w:type="spellEnd"/>
      <w:r w:rsidRPr="0044689B">
        <w:rPr>
          <w:bCs/>
          <w:i/>
          <w:color w:val="000000"/>
        </w:rPr>
        <w:t xml:space="preserve">, vobis </w:t>
      </w:r>
      <w:proofErr w:type="spellStart"/>
      <w:r w:rsidRPr="0044689B">
        <w:rPr>
          <w:bCs/>
          <w:i/>
          <w:color w:val="000000"/>
        </w:rPr>
        <w:t>aether</w:t>
      </w:r>
      <w:proofErr w:type="spellEnd"/>
      <w:r w:rsidRPr="0044689B">
        <w:rPr>
          <w:bCs/>
          <w:i/>
          <w:color w:val="000000"/>
        </w:rPr>
        <w:t xml:space="preserve"> </w:t>
      </w:r>
      <w:proofErr w:type="spellStart"/>
      <w:r w:rsidRPr="0044689B">
        <w:rPr>
          <w:bCs/>
          <w:i/>
          <w:color w:val="000000"/>
        </w:rPr>
        <w:t>ru</w:t>
      </w:r>
      <w:r>
        <w:rPr>
          <w:bCs/>
          <w:i/>
          <w:color w:val="000000"/>
        </w:rPr>
        <w:t>it</w:t>
      </w:r>
      <w:proofErr w:type="spellEnd"/>
      <w:r>
        <w:rPr>
          <w:bCs/>
          <w:i/>
          <w:color w:val="000000"/>
        </w:rPr>
        <w:t xml:space="preserve"> et mare </w:t>
      </w:r>
      <w:proofErr w:type="spellStart"/>
      <w:r>
        <w:rPr>
          <w:bCs/>
          <w:i/>
          <w:color w:val="000000"/>
        </w:rPr>
        <w:t>surgit</w:t>
      </w:r>
      <w:proofErr w:type="spellEnd"/>
      <w:r>
        <w:rPr>
          <w:bCs/>
          <w:i/>
          <w:color w:val="000000"/>
        </w:rPr>
        <w:t xml:space="preserve">         </w:t>
      </w:r>
      <w:proofErr w:type="gramStart"/>
      <w:r w:rsidRPr="0044689B">
        <w:rPr>
          <w:rFonts w:ascii="Baskerville Old Face" w:hAnsi="Baskerville Old Face"/>
        </w:rPr>
        <w:t>In</w:t>
      </w:r>
      <w:proofErr w:type="gramEnd"/>
      <w:r w:rsidRPr="0044689B">
        <w:rPr>
          <w:rFonts w:ascii="Baskerville Old Face" w:hAnsi="Baskerville Old Face"/>
        </w:rPr>
        <w:t xml:space="preserve"> me, he says, upper air rushes down and sea rises up</w:t>
      </w:r>
    </w:p>
    <w:p w14:paraId="1A901DBB" w14:textId="77777777" w:rsidR="005B0DAD" w:rsidRDefault="005B0DAD" w:rsidP="005B0DAD">
      <w:pPr>
        <w:ind w:left="-144" w:right="-144"/>
        <w:rPr>
          <w:rFonts w:ascii="Baskerville Old Face" w:hAnsi="Baskerville Old Face"/>
          <w:sz w:val="20"/>
          <w:szCs w:val="20"/>
        </w:rPr>
      </w:pPr>
      <w:r w:rsidRPr="0044689B">
        <w:rPr>
          <w:bCs/>
          <w:i/>
          <w:color w:val="000000"/>
          <w:sz w:val="20"/>
          <w:szCs w:val="20"/>
        </w:rPr>
        <w:t xml:space="preserve">In me terra </w:t>
      </w:r>
      <w:proofErr w:type="spellStart"/>
      <w:r w:rsidRPr="0044689B">
        <w:rPr>
          <w:bCs/>
          <w:i/>
          <w:color w:val="000000"/>
          <w:sz w:val="20"/>
          <w:szCs w:val="20"/>
        </w:rPr>
        <w:t>procul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, </w:t>
      </w:r>
      <w:proofErr w:type="spellStart"/>
      <w:r w:rsidRPr="0044689B">
        <w:rPr>
          <w:bCs/>
          <w:i/>
          <w:color w:val="000000"/>
          <w:sz w:val="20"/>
          <w:szCs w:val="20"/>
        </w:rPr>
        <w:t>mors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44689B">
        <w:rPr>
          <w:bCs/>
          <w:i/>
          <w:color w:val="000000"/>
          <w:sz w:val="20"/>
          <w:szCs w:val="20"/>
        </w:rPr>
        <w:t>proxima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, </w:t>
      </w:r>
      <w:proofErr w:type="spellStart"/>
      <w:r w:rsidRPr="0044689B">
        <w:rPr>
          <w:bCs/>
          <w:i/>
          <w:color w:val="000000"/>
          <w:sz w:val="20"/>
          <w:szCs w:val="20"/>
        </w:rPr>
        <w:t>nulla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44689B">
        <w:rPr>
          <w:bCs/>
          <w:i/>
          <w:color w:val="000000"/>
          <w:sz w:val="20"/>
          <w:szCs w:val="20"/>
        </w:rPr>
        <w:t>dei</w:t>
      </w:r>
      <w:proofErr w:type="spellEnd"/>
      <w:r w:rsidRPr="0044689B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44689B">
        <w:rPr>
          <w:bCs/>
          <w:i/>
          <w:color w:val="000000"/>
          <w:sz w:val="20"/>
          <w:szCs w:val="20"/>
        </w:rPr>
        <w:t>spes</w:t>
      </w:r>
      <w:proofErr w:type="spellEnd"/>
      <w:r>
        <w:rPr>
          <w:rFonts w:ascii="Baskerville Old Face" w:hAnsi="Baskerville Old Face"/>
          <w:i/>
          <w:sz w:val="20"/>
          <w:szCs w:val="20"/>
        </w:rPr>
        <w:t xml:space="preserve">   </w:t>
      </w:r>
      <w:proofErr w:type="gramStart"/>
      <w:r w:rsidRPr="0044689B">
        <w:rPr>
          <w:rFonts w:ascii="Baskerville Old Face" w:hAnsi="Baskerville Old Face"/>
          <w:sz w:val="20"/>
          <w:szCs w:val="20"/>
        </w:rPr>
        <w:t>In</w:t>
      </w:r>
      <w:proofErr w:type="gramEnd"/>
      <w:r w:rsidRPr="0044689B">
        <w:rPr>
          <w:rFonts w:ascii="Baskerville Old Face" w:hAnsi="Baskerville Old Face"/>
          <w:sz w:val="20"/>
          <w:szCs w:val="20"/>
        </w:rPr>
        <w:t xml:space="preserve"> me earth is far, death is near, hope of God is none.</w:t>
      </w:r>
    </w:p>
    <w:p w14:paraId="25D13C91" w14:textId="77777777" w:rsidR="005B0DAD" w:rsidRPr="0044689B" w:rsidRDefault="005B0DAD" w:rsidP="005B0DAD">
      <w:pPr>
        <w:ind w:left="-144" w:right="-144"/>
        <w:rPr>
          <w:rFonts w:ascii="Baskerville Old Face" w:hAnsi="Baskerville Old Face"/>
          <w:sz w:val="20"/>
          <w:szCs w:val="20"/>
        </w:rPr>
      </w:pPr>
    </w:p>
    <w:p w14:paraId="670D51E7" w14:textId="77777777" w:rsidR="005B0DAD" w:rsidRPr="0044689B" w:rsidRDefault="005B0DAD" w:rsidP="005B0DAD">
      <w:pPr>
        <w:ind w:left="-144" w:right="-144"/>
        <w:rPr>
          <w:rFonts w:ascii="Baskerville Old Face" w:hAnsi="Baskerville Old Face"/>
          <w:i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Pr="0044689B">
        <w:rPr>
          <w:rFonts w:ascii="Baskerville Old Face" w:hAnsi="Baskerville Old Face"/>
          <w:sz w:val="20"/>
          <w:szCs w:val="20"/>
        </w:rPr>
        <w:t>-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4689B">
        <w:rPr>
          <w:rFonts w:ascii="Baskerville Old Face" w:hAnsi="Baskerville Old Face"/>
          <w:sz w:val="20"/>
          <w:szCs w:val="20"/>
        </w:rPr>
        <w:t xml:space="preserve">Pseudo-Tertullian, </w:t>
      </w:r>
      <w:r w:rsidRPr="0044689B">
        <w:rPr>
          <w:rFonts w:ascii="Baskerville Old Face" w:hAnsi="Baskerville Old Face"/>
          <w:i/>
          <w:sz w:val="20"/>
          <w:szCs w:val="20"/>
        </w:rPr>
        <w:t xml:space="preserve">Carmen de Iona </w:t>
      </w:r>
      <w:proofErr w:type="spellStart"/>
      <w:r w:rsidRPr="0044689B">
        <w:rPr>
          <w:rFonts w:ascii="Baskerville Old Face" w:hAnsi="Baskerville Old Face"/>
          <w:i/>
          <w:sz w:val="20"/>
          <w:szCs w:val="20"/>
        </w:rPr>
        <w:t>Propheta</w:t>
      </w:r>
      <w:proofErr w:type="spellEnd"/>
    </w:p>
    <w:p w14:paraId="050BF2D9" w14:textId="77777777" w:rsidR="005B0DAD" w:rsidRPr="002E7BD0" w:rsidRDefault="005B0DAD" w:rsidP="005B0DAD">
      <w:pPr>
        <w:ind w:left="-144" w:right="-144"/>
        <w:jc w:val="center"/>
        <w:rPr>
          <w:rFonts w:ascii="Baskerville Old Face" w:hAnsi="Baskerville Old Face"/>
          <w:sz w:val="20"/>
          <w:szCs w:val="20"/>
        </w:rPr>
      </w:pPr>
    </w:p>
    <w:p w14:paraId="36701FD6" w14:textId="77777777" w:rsidR="005B0DAD" w:rsidRDefault="005B0DAD" w:rsidP="005B0DAD">
      <w:pPr>
        <w:jc w:val="center"/>
        <w:rPr>
          <w:sz w:val="36"/>
        </w:rPr>
      </w:pPr>
    </w:p>
    <w:p w14:paraId="068226A5" w14:textId="77777777" w:rsidR="005B0DAD" w:rsidRDefault="005B0DAD" w:rsidP="005B0DAD">
      <w:pPr>
        <w:jc w:val="center"/>
        <w:rPr>
          <w:sz w:val="36"/>
        </w:rPr>
      </w:pPr>
      <w:r w:rsidRPr="00A111C0">
        <w:rPr>
          <w:noProof/>
          <w:sz w:val="36"/>
        </w:rPr>
        <w:drawing>
          <wp:inline distT="0" distB="0" distL="0" distR="0" wp14:anchorId="457C9E72" wp14:editId="58D761D7">
            <wp:extent cx="4342912" cy="2862100"/>
            <wp:effectExtent l="0" t="0" r="635" b="8255"/>
            <wp:docPr id="1" name="Picture 1" descr="A picture containing old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ld, ceramic ware, porcelai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6950" cy="287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12982" w14:textId="77777777" w:rsidR="005B0DAD" w:rsidRDefault="005B0DAD" w:rsidP="005B0DAD">
      <w:pPr>
        <w:rPr>
          <w:sz w:val="36"/>
        </w:rPr>
      </w:pPr>
    </w:p>
    <w:p w14:paraId="0F724875" w14:textId="77777777" w:rsidR="005B0DAD" w:rsidRDefault="005B0DAD" w:rsidP="005B0DAD">
      <w:pPr>
        <w:rPr>
          <w:sz w:val="36"/>
        </w:rPr>
      </w:pPr>
    </w:p>
    <w:p w14:paraId="2E525705" w14:textId="77777777" w:rsidR="005B0DAD" w:rsidRDefault="005B0DAD" w:rsidP="005B0DAD">
      <w:pPr>
        <w:jc w:val="center"/>
        <w:rPr>
          <w:sz w:val="36"/>
        </w:rPr>
      </w:pPr>
      <w:r>
        <w:rPr>
          <w:sz w:val="36"/>
        </w:rPr>
        <w:t xml:space="preserve">The Bible </w:t>
      </w:r>
      <w:r w:rsidRPr="00EA081C">
        <w:rPr>
          <w:sz w:val="36"/>
        </w:rPr>
        <w:t>and Its Afterlives</w:t>
      </w:r>
      <w:r>
        <w:rPr>
          <w:sz w:val="36"/>
        </w:rPr>
        <w:t>: Jonah</w:t>
      </w:r>
    </w:p>
    <w:p w14:paraId="27E11C3B" w14:textId="6E3087D2" w:rsidR="005B0DAD" w:rsidRDefault="005B0DAD" w:rsidP="005B0DAD">
      <w:pPr>
        <w:jc w:val="center"/>
        <w:rPr>
          <w:sz w:val="28"/>
          <w:szCs w:val="28"/>
        </w:rPr>
      </w:pPr>
      <w:r w:rsidRPr="00BE2FF4">
        <w:rPr>
          <w:sz w:val="28"/>
          <w:szCs w:val="28"/>
        </w:rPr>
        <w:t>TXT-DEPTH / 3000 level</w:t>
      </w:r>
      <w:r w:rsidR="00A3059B">
        <w:rPr>
          <w:sz w:val="28"/>
          <w:szCs w:val="28"/>
        </w:rPr>
        <w:t>, 2 credits</w:t>
      </w:r>
    </w:p>
    <w:p w14:paraId="6ADB6AC1" w14:textId="77C19673" w:rsidR="00A3059B" w:rsidRPr="00BE2FF4" w:rsidRDefault="00A3059B" w:rsidP="005B0DAD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1-4:30 (March 31-April 28)</w:t>
      </w:r>
    </w:p>
    <w:p w14:paraId="0204CCDE" w14:textId="77777777" w:rsidR="005B0DAD" w:rsidRDefault="005B0DAD" w:rsidP="005B0DAD">
      <w:pPr>
        <w:jc w:val="center"/>
      </w:pPr>
    </w:p>
    <w:p w14:paraId="0D34146D" w14:textId="77777777" w:rsidR="005B0DAD" w:rsidRDefault="005B0DAD" w:rsidP="005B0DAD"/>
    <w:p w14:paraId="220060C9" w14:textId="46C671C8" w:rsidR="005B0DAD" w:rsidRDefault="005B0DAD" w:rsidP="005B0DAD">
      <w:r>
        <w:t>Instructor: Amy Erickson</w:t>
      </w:r>
    </w:p>
    <w:p w14:paraId="4607D06F" w14:textId="4473840B" w:rsidR="00F365FC" w:rsidRDefault="00F365FC" w:rsidP="005B0DAD">
      <w:r>
        <w:t>Associate Professor of Hebrew Bible</w:t>
      </w:r>
    </w:p>
    <w:p w14:paraId="038DB88F" w14:textId="77777777" w:rsidR="005B0DAD" w:rsidRDefault="005B0DAD" w:rsidP="005B0DAD">
      <w:r>
        <w:t>aerickson@iliff.edu</w:t>
      </w:r>
    </w:p>
    <w:p w14:paraId="6EEDFD5B" w14:textId="77777777" w:rsidR="005B0DAD" w:rsidRDefault="005B0DAD" w:rsidP="005B0DAD"/>
    <w:p w14:paraId="3B1D857B" w14:textId="77777777" w:rsidR="005B0DAD" w:rsidRDefault="005B0DAD" w:rsidP="005B0DAD">
      <w:pPr>
        <w:rPr>
          <w:sz w:val="28"/>
        </w:rPr>
      </w:pPr>
    </w:p>
    <w:p w14:paraId="769693D3" w14:textId="77777777" w:rsidR="005B0DAD" w:rsidRPr="009C2D4E" w:rsidRDefault="005B0DAD" w:rsidP="005B0DAD">
      <w:pPr>
        <w:rPr>
          <w:b/>
          <w:sz w:val="32"/>
        </w:rPr>
      </w:pPr>
      <w:r w:rsidRPr="009C2D4E">
        <w:rPr>
          <w:b/>
          <w:sz w:val="32"/>
        </w:rPr>
        <w:t>Course Description</w:t>
      </w:r>
    </w:p>
    <w:p w14:paraId="09B2052F" w14:textId="77777777" w:rsidR="005B0DAD" w:rsidRDefault="005B0DAD" w:rsidP="005B0DAD"/>
    <w:p w14:paraId="0D7D958C" w14:textId="77777777" w:rsidR="005B0DAD" w:rsidRDefault="005B0DAD" w:rsidP="005B0DAD">
      <w:r w:rsidRPr="006601CE">
        <w:t xml:space="preserve">This course invites students to </w:t>
      </w:r>
      <w:r>
        <w:t>place</w:t>
      </w:r>
      <w:r w:rsidRPr="006601CE">
        <w:t xml:space="preserve"> the biblical book of Jonah in conversation with works of literature, art, and th</w:t>
      </w:r>
      <w:r>
        <w:t xml:space="preserve">eology that interpret Jonah </w:t>
      </w:r>
      <w:r w:rsidRPr="006601CE">
        <w:t>or explore themes in the book, including the nature of God, prophecy, election, death, and transformation. The course will introduce students to the history of interpretation</w:t>
      </w:r>
      <w:r>
        <w:t xml:space="preserve"> (or reception history)</w:t>
      </w:r>
      <w:r w:rsidRPr="006601CE">
        <w:t xml:space="preserve"> by considering Jonah’s afterlives in </w:t>
      </w:r>
      <w:r>
        <w:t xml:space="preserve">a variety of Jewish, Christian, and Islamic texts, </w:t>
      </w:r>
      <w:r w:rsidRPr="006601CE">
        <w:t>art</w:t>
      </w:r>
      <w:r>
        <w:t>istic programs, and manuscript illuminations.</w:t>
      </w:r>
    </w:p>
    <w:p w14:paraId="25DEDB8D" w14:textId="77777777" w:rsidR="005B0DAD" w:rsidRDefault="005B0DAD" w:rsidP="005B0DAD"/>
    <w:p w14:paraId="719972D5" w14:textId="77777777" w:rsidR="005B0DAD" w:rsidRDefault="005B0DAD" w:rsidP="005B0DAD"/>
    <w:p w14:paraId="26D74194" w14:textId="77777777" w:rsidR="005B0DAD" w:rsidRPr="00A959FB" w:rsidRDefault="005B0DAD" w:rsidP="005B0DAD">
      <w:pPr>
        <w:rPr>
          <w:b/>
          <w:sz w:val="28"/>
        </w:rPr>
      </w:pPr>
      <w:r w:rsidRPr="00A959FB">
        <w:rPr>
          <w:b/>
          <w:sz w:val="28"/>
        </w:rPr>
        <w:t>Objectives</w:t>
      </w:r>
    </w:p>
    <w:p w14:paraId="2AFB8955" w14:textId="77777777" w:rsidR="005B0DAD" w:rsidRDefault="005B0DAD" w:rsidP="005B0DAD"/>
    <w:p w14:paraId="0ED04F0F" w14:textId="77777777" w:rsidR="005B0DAD" w:rsidRPr="004A6C94" w:rsidRDefault="005B0DAD" w:rsidP="005B0DAD">
      <w:pPr>
        <w:pStyle w:val="ListParagraph"/>
        <w:numPr>
          <w:ilvl w:val="0"/>
          <w:numId w:val="2"/>
        </w:numPr>
        <w:rPr>
          <w:lang w:bidi="he-IL"/>
        </w:rPr>
      </w:pPr>
      <w:r w:rsidRPr="004A6C94">
        <w:rPr>
          <w:rFonts w:ascii="Times" w:hAnsi="Times"/>
          <w:color w:val="000000"/>
          <w:lang w:bidi="he-IL"/>
        </w:rPr>
        <w:t>to help students acquire proficiency in the interpretation of biblical texts</w:t>
      </w:r>
    </w:p>
    <w:p w14:paraId="6875A95F" w14:textId="77777777" w:rsidR="005B0DAD" w:rsidRDefault="005B0DAD" w:rsidP="005B0DAD">
      <w:pPr>
        <w:pStyle w:val="ListParagraph"/>
        <w:numPr>
          <w:ilvl w:val="0"/>
          <w:numId w:val="2"/>
        </w:numPr>
      </w:pPr>
      <w:r>
        <w:t>to expand students’ imaginations about how biblical texts might speak to different communities in different times and places</w:t>
      </w:r>
    </w:p>
    <w:p w14:paraId="04EF80D3" w14:textId="77777777" w:rsidR="005B0DAD" w:rsidRDefault="005B0DAD" w:rsidP="005B0DAD">
      <w:pPr>
        <w:pStyle w:val="ListParagraph"/>
        <w:numPr>
          <w:ilvl w:val="1"/>
          <w:numId w:val="2"/>
        </w:numPr>
      </w:pPr>
      <w:r>
        <w:t xml:space="preserve">perhaps learning from pre-modern and creative readers will facilitate an “escape from what has become for many people the prison house of modernism and historical criticism” (Dale Martin, </w:t>
      </w:r>
      <w:r w:rsidRPr="00CE1925">
        <w:rPr>
          <w:i/>
        </w:rPr>
        <w:t>Pedagogy of the Bible</w:t>
      </w:r>
      <w:r>
        <w:t>, 47)</w:t>
      </w:r>
    </w:p>
    <w:p w14:paraId="732DD3EC" w14:textId="77777777" w:rsidR="005B0DAD" w:rsidRDefault="005B0DAD" w:rsidP="005B0DAD">
      <w:pPr>
        <w:pStyle w:val="ListParagraph"/>
        <w:numPr>
          <w:ilvl w:val="0"/>
          <w:numId w:val="2"/>
        </w:numPr>
      </w:pPr>
      <w:r>
        <w:t>to empower students to explore and unleash a biblical book’s latent or virtual potentials by studying its afterlives</w:t>
      </w:r>
    </w:p>
    <w:p w14:paraId="40280A8E" w14:textId="77777777" w:rsidR="005B0DAD" w:rsidRDefault="005B0DAD" w:rsidP="005B0DAD">
      <w:pPr>
        <w:pStyle w:val="ListParagraph"/>
        <w:numPr>
          <w:ilvl w:val="0"/>
          <w:numId w:val="2"/>
        </w:numPr>
      </w:pPr>
      <w:r>
        <w:t>to facilitate student engagement in interdisciplinary learning</w:t>
      </w:r>
    </w:p>
    <w:p w14:paraId="5B29D34F" w14:textId="77777777" w:rsidR="005B0DAD" w:rsidRDefault="005B0DAD" w:rsidP="005B0DAD">
      <w:pPr>
        <w:rPr>
          <w:b/>
          <w:sz w:val="28"/>
        </w:rPr>
      </w:pPr>
    </w:p>
    <w:p w14:paraId="6E9C62DA" w14:textId="77777777" w:rsidR="005B0DAD" w:rsidRDefault="005B0DAD" w:rsidP="005B0DAD">
      <w:pPr>
        <w:rPr>
          <w:rFonts w:asciiTheme="majorBidi" w:hAnsiTheme="majorBidi" w:cstheme="majorBidi"/>
          <w:b/>
          <w:bCs/>
          <w:color w:val="444444"/>
          <w:sz w:val="28"/>
          <w:szCs w:val="28"/>
          <w:shd w:val="clear" w:color="auto" w:fill="FFFFFF"/>
          <w:lang w:bidi="he-IL"/>
        </w:rPr>
      </w:pPr>
      <w:r w:rsidRPr="009725BA">
        <w:rPr>
          <w:b/>
          <w:bCs/>
          <w:sz w:val="28"/>
          <w:szCs w:val="28"/>
        </w:rPr>
        <w:t>Degree Learning Goals</w:t>
      </w:r>
      <w:r w:rsidRPr="009725BA">
        <w:rPr>
          <w:rFonts w:asciiTheme="majorBidi" w:hAnsiTheme="majorBidi" w:cstheme="majorBidi"/>
          <w:b/>
          <w:bCs/>
          <w:color w:val="444444"/>
          <w:sz w:val="28"/>
          <w:szCs w:val="28"/>
          <w:shd w:val="clear" w:color="auto" w:fill="FFFFFF"/>
          <w:lang w:bidi="he-IL"/>
        </w:rPr>
        <w:t>: Sacred Texts (TX)</w:t>
      </w:r>
    </w:p>
    <w:p w14:paraId="00892748" w14:textId="77777777" w:rsidR="005B0DAD" w:rsidRPr="009725BA" w:rsidRDefault="005B0DAD" w:rsidP="005B0DAD">
      <w:pPr>
        <w:rPr>
          <w:b/>
          <w:bCs/>
          <w:sz w:val="28"/>
          <w:szCs w:val="28"/>
        </w:rPr>
      </w:pPr>
    </w:p>
    <w:p w14:paraId="28B49FCB" w14:textId="77777777" w:rsidR="005B0DAD" w:rsidRDefault="005B0DAD" w:rsidP="005B0DAD">
      <w:pPr>
        <w:ind w:firstLine="720"/>
        <w:rPr>
          <w:rFonts w:asciiTheme="majorBidi" w:hAnsiTheme="majorBidi" w:cstheme="majorBidi"/>
          <w:color w:val="444444"/>
          <w:shd w:val="clear" w:color="auto" w:fill="FFFFFF"/>
          <w:lang w:bidi="he-IL"/>
        </w:rPr>
      </w:pPr>
      <w:r>
        <w:rPr>
          <w:rFonts w:asciiTheme="majorBidi" w:hAnsiTheme="majorBidi" w:cstheme="majorBidi"/>
          <w:color w:val="444444"/>
          <w:shd w:val="clear" w:color="auto" w:fill="FFFFFF"/>
          <w:lang w:bidi="he-IL"/>
        </w:rPr>
        <w:t xml:space="preserve">1) </w:t>
      </w:r>
      <w:r w:rsidRPr="00F0420A">
        <w:rPr>
          <w:rFonts w:asciiTheme="majorBidi" w:hAnsiTheme="majorBidi" w:cstheme="majorBidi"/>
          <w:color w:val="444444"/>
          <w:shd w:val="clear" w:color="auto" w:fill="FFFFFF"/>
          <w:lang w:bidi="he-IL"/>
        </w:rPr>
        <w:t>demonstrate an informed understanding of sacred texts as historically-</w:t>
      </w:r>
      <w:proofErr w:type="gramStart"/>
      <w:r w:rsidRPr="00F0420A">
        <w:rPr>
          <w:rFonts w:asciiTheme="majorBidi" w:hAnsiTheme="majorBidi" w:cstheme="majorBidi"/>
          <w:color w:val="444444"/>
          <w:shd w:val="clear" w:color="auto" w:fill="FFFFFF"/>
          <w:lang w:bidi="he-IL"/>
        </w:rPr>
        <w:t>situated;</w:t>
      </w:r>
      <w:proofErr w:type="gramEnd"/>
      <w:r w:rsidRPr="00F0420A">
        <w:rPr>
          <w:rFonts w:asciiTheme="majorBidi" w:hAnsiTheme="majorBidi" w:cstheme="majorBidi"/>
          <w:color w:val="444444"/>
          <w:shd w:val="clear" w:color="auto" w:fill="FFFFFF"/>
          <w:lang w:bidi="he-IL"/>
        </w:rPr>
        <w:t xml:space="preserve"> </w:t>
      </w:r>
    </w:p>
    <w:p w14:paraId="3462EFC9" w14:textId="77777777" w:rsidR="005B0DAD" w:rsidRPr="00561454" w:rsidRDefault="005B0DAD" w:rsidP="005B0DAD">
      <w:pPr>
        <w:ind w:left="720"/>
        <w:rPr>
          <w:rFonts w:asciiTheme="majorBidi" w:hAnsiTheme="majorBidi" w:cstheme="majorBidi"/>
          <w:color w:val="444444"/>
          <w:shd w:val="clear" w:color="auto" w:fill="FFFFFF"/>
          <w:lang w:bidi="he-IL"/>
        </w:rPr>
      </w:pPr>
      <w:r>
        <w:rPr>
          <w:rFonts w:asciiTheme="majorBidi" w:hAnsiTheme="majorBidi" w:cstheme="majorBidi"/>
          <w:color w:val="444444"/>
          <w:shd w:val="clear" w:color="auto" w:fill="FFFFFF"/>
          <w:lang w:bidi="he-IL"/>
        </w:rPr>
        <w:t xml:space="preserve">2) </w:t>
      </w:r>
      <w:r w:rsidRPr="00F0420A">
        <w:rPr>
          <w:rFonts w:asciiTheme="majorBidi" w:hAnsiTheme="majorBidi" w:cstheme="majorBidi"/>
          <w:color w:val="444444"/>
          <w:shd w:val="clear" w:color="auto" w:fill="FFFFFF"/>
          <w:lang w:bidi="he-IL"/>
        </w:rPr>
        <w:t>utilize various methodologies for responsible interpretation of these texts to contemporary audiences</w:t>
      </w:r>
    </w:p>
    <w:p w14:paraId="5295CA79" w14:textId="77777777" w:rsidR="005B0DAD" w:rsidRDefault="005B0DAD" w:rsidP="005B0DAD"/>
    <w:p w14:paraId="57855AFC" w14:textId="77777777" w:rsidR="005B0DAD" w:rsidRDefault="005B0DAD" w:rsidP="005B0DAD">
      <w:pPr>
        <w:shd w:val="clear" w:color="auto" w:fill="FFFFFF"/>
        <w:spacing w:before="180" w:after="180"/>
        <w:rPr>
          <w:b/>
          <w:bCs/>
          <w:color w:val="2D3B45"/>
          <w:sz w:val="28"/>
          <w:szCs w:val="28"/>
        </w:rPr>
      </w:pPr>
      <w:r w:rsidRPr="0043666E">
        <w:rPr>
          <w:b/>
          <w:bCs/>
          <w:color w:val="2D3B45"/>
          <w:sz w:val="28"/>
          <w:szCs w:val="28"/>
        </w:rPr>
        <w:t>Course Learning Outcomes</w:t>
      </w:r>
    </w:p>
    <w:p w14:paraId="32006198" w14:textId="77777777" w:rsidR="005B0DAD" w:rsidRPr="009725BA" w:rsidRDefault="005B0DAD" w:rsidP="005B0DAD">
      <w:pPr>
        <w:shd w:val="clear" w:color="auto" w:fill="FFFFFF"/>
        <w:spacing w:before="180" w:after="180"/>
        <w:rPr>
          <w:b/>
          <w:bCs/>
          <w:color w:val="2D3B45"/>
          <w:sz w:val="28"/>
          <w:szCs w:val="28"/>
        </w:rPr>
      </w:pPr>
      <w:r w:rsidRPr="00E628D6">
        <w:rPr>
          <w:color w:val="2D3B45"/>
        </w:rPr>
        <w:t>After taking this class, students will be able to:</w:t>
      </w:r>
    </w:p>
    <w:p w14:paraId="53ACDB36" w14:textId="77777777" w:rsidR="005B0DAD" w:rsidRPr="00E628D6" w:rsidRDefault="005B0DAD" w:rsidP="005B0DAD">
      <w:pPr>
        <w:pStyle w:val="ListParagraph"/>
        <w:numPr>
          <w:ilvl w:val="0"/>
          <w:numId w:val="3"/>
        </w:numPr>
        <w:shd w:val="clear" w:color="auto" w:fill="FFFFFF"/>
        <w:spacing w:before="180" w:after="180"/>
        <w:rPr>
          <w:color w:val="2D3B45"/>
        </w:rPr>
      </w:pPr>
      <w:r w:rsidRPr="00E628D6">
        <w:rPr>
          <w:color w:val="2D3B45"/>
        </w:rPr>
        <w:t>Articulate the ways Jonah functions as a meta-prophetic text</w:t>
      </w:r>
      <w:r>
        <w:rPr>
          <w:color w:val="2D3B45"/>
        </w:rPr>
        <w:t>.</w:t>
      </w:r>
      <w:r w:rsidRPr="00E628D6">
        <w:rPr>
          <w:color w:val="2D3B45"/>
        </w:rPr>
        <w:t xml:space="preserve"> </w:t>
      </w:r>
      <w:r w:rsidRPr="0005385D">
        <w:rPr>
          <w:b/>
          <w:bCs/>
          <w:color w:val="2D3B45"/>
        </w:rPr>
        <w:t>DLG 1</w:t>
      </w:r>
      <w:r>
        <w:rPr>
          <w:b/>
          <w:bCs/>
          <w:color w:val="2D3B45"/>
        </w:rPr>
        <w:t>,</w:t>
      </w:r>
      <w:r w:rsidRPr="0005385D">
        <w:rPr>
          <w:b/>
          <w:bCs/>
          <w:color w:val="2D3B45"/>
        </w:rPr>
        <w:t xml:space="preserve"> 2</w:t>
      </w:r>
    </w:p>
    <w:p w14:paraId="29627C0A" w14:textId="77777777" w:rsidR="005B0DAD" w:rsidRPr="00E628D6" w:rsidRDefault="005B0DAD" w:rsidP="005B0DAD">
      <w:pPr>
        <w:pStyle w:val="ListParagraph"/>
        <w:numPr>
          <w:ilvl w:val="0"/>
          <w:numId w:val="3"/>
        </w:numPr>
        <w:shd w:val="clear" w:color="auto" w:fill="FFFFFF"/>
        <w:spacing w:before="180" w:after="180"/>
        <w:rPr>
          <w:color w:val="2D3B45"/>
        </w:rPr>
      </w:pPr>
      <w:r w:rsidRPr="00E628D6">
        <w:rPr>
          <w:color w:val="2D3B45"/>
        </w:rPr>
        <w:t>Demonstrate an awareness of the social-historical-imperial background and the literary artistry of the book</w:t>
      </w:r>
      <w:r>
        <w:rPr>
          <w:color w:val="2D3B45"/>
        </w:rPr>
        <w:t xml:space="preserve">. </w:t>
      </w:r>
      <w:r w:rsidRPr="0005385D">
        <w:rPr>
          <w:b/>
          <w:bCs/>
          <w:color w:val="2D3B45"/>
        </w:rPr>
        <w:t>DLG 1</w:t>
      </w:r>
      <w:r>
        <w:rPr>
          <w:b/>
          <w:bCs/>
          <w:color w:val="2D3B45"/>
        </w:rPr>
        <w:t>,</w:t>
      </w:r>
      <w:r w:rsidRPr="0005385D">
        <w:rPr>
          <w:b/>
          <w:bCs/>
          <w:color w:val="2D3B45"/>
        </w:rPr>
        <w:t xml:space="preserve"> 2</w:t>
      </w:r>
    </w:p>
    <w:p w14:paraId="423D41CE" w14:textId="77777777" w:rsidR="005B0DAD" w:rsidRPr="00E628D6" w:rsidRDefault="005B0DAD" w:rsidP="005B0DAD">
      <w:pPr>
        <w:pStyle w:val="ListParagraph"/>
        <w:numPr>
          <w:ilvl w:val="0"/>
          <w:numId w:val="3"/>
        </w:numPr>
        <w:shd w:val="clear" w:color="auto" w:fill="FFFFFF"/>
        <w:spacing w:before="180" w:after="180"/>
        <w:rPr>
          <w:color w:val="2D3B45"/>
        </w:rPr>
      </w:pPr>
      <w:r w:rsidRPr="00E628D6">
        <w:rPr>
          <w:color w:val="2D3B45"/>
        </w:rPr>
        <w:t>Speak knowledgeably about how Jonah came to be interpreted in a variety of ways in different religious and cultural traditions</w:t>
      </w:r>
      <w:r>
        <w:rPr>
          <w:color w:val="2D3B45"/>
        </w:rPr>
        <w:t xml:space="preserve">. </w:t>
      </w:r>
      <w:r w:rsidRPr="00E31737">
        <w:rPr>
          <w:b/>
          <w:bCs/>
          <w:color w:val="2D3B45"/>
        </w:rPr>
        <w:t>DLG 1</w:t>
      </w:r>
      <w:r>
        <w:rPr>
          <w:b/>
          <w:bCs/>
          <w:color w:val="2D3B45"/>
        </w:rPr>
        <w:t>,</w:t>
      </w:r>
      <w:r w:rsidRPr="00E31737">
        <w:rPr>
          <w:b/>
          <w:bCs/>
          <w:color w:val="2D3B45"/>
        </w:rPr>
        <w:t xml:space="preserve"> 2</w:t>
      </w:r>
    </w:p>
    <w:p w14:paraId="43126230" w14:textId="77777777" w:rsidR="005B0DAD" w:rsidRPr="0005385D" w:rsidRDefault="005B0DAD" w:rsidP="005B0DAD">
      <w:pPr>
        <w:pStyle w:val="ListParagraph"/>
        <w:numPr>
          <w:ilvl w:val="0"/>
          <w:numId w:val="3"/>
        </w:numPr>
        <w:shd w:val="clear" w:color="auto" w:fill="FFFFFF"/>
        <w:spacing w:before="180" w:after="180"/>
        <w:rPr>
          <w:b/>
          <w:bCs/>
          <w:color w:val="2D3B45"/>
        </w:rPr>
      </w:pPr>
      <w:r w:rsidRPr="00E628D6">
        <w:rPr>
          <w:color w:val="2D3B45"/>
        </w:rPr>
        <w:t>Connect themes in the biblical text and its afterlives to things they find important</w:t>
      </w:r>
      <w:r>
        <w:rPr>
          <w:color w:val="2D3B45"/>
        </w:rPr>
        <w:t>.</w:t>
      </w:r>
      <w:r w:rsidRPr="00E628D6">
        <w:rPr>
          <w:color w:val="2D3B45"/>
        </w:rPr>
        <w:t xml:space="preserve"> </w:t>
      </w:r>
      <w:r w:rsidRPr="0005385D">
        <w:rPr>
          <w:b/>
          <w:bCs/>
          <w:color w:val="2D3B45"/>
        </w:rPr>
        <w:t>DLG 2</w:t>
      </w:r>
    </w:p>
    <w:p w14:paraId="334DA9EC" w14:textId="77777777" w:rsidR="005B0DAD" w:rsidRPr="008E2FD8" w:rsidRDefault="005B0DAD" w:rsidP="005B0DAD">
      <w:pPr>
        <w:pStyle w:val="ListParagraph"/>
        <w:numPr>
          <w:ilvl w:val="0"/>
          <w:numId w:val="3"/>
        </w:numPr>
        <w:shd w:val="clear" w:color="auto" w:fill="FFFFFF"/>
        <w:spacing w:before="180" w:after="180"/>
        <w:rPr>
          <w:color w:val="2D3B45"/>
        </w:rPr>
      </w:pPr>
      <w:r w:rsidRPr="00E628D6">
        <w:rPr>
          <w:color w:val="2D3B45"/>
        </w:rPr>
        <w:t>Write academic papers with increased ability to formulate a claim and support it with apt textual evidence</w:t>
      </w:r>
      <w:r>
        <w:rPr>
          <w:color w:val="2D3B45"/>
        </w:rPr>
        <w:t xml:space="preserve"> and with an awareness of the methodological decisions they are making. </w:t>
      </w:r>
      <w:r w:rsidRPr="0005385D">
        <w:rPr>
          <w:b/>
          <w:bCs/>
          <w:color w:val="2D3B45"/>
        </w:rPr>
        <w:t>DLG 1</w:t>
      </w:r>
      <w:r>
        <w:rPr>
          <w:b/>
          <w:bCs/>
          <w:color w:val="2D3B45"/>
        </w:rPr>
        <w:t>,</w:t>
      </w:r>
      <w:r w:rsidRPr="0005385D">
        <w:rPr>
          <w:b/>
          <w:bCs/>
          <w:color w:val="2D3B45"/>
        </w:rPr>
        <w:t xml:space="preserve"> 2</w:t>
      </w:r>
    </w:p>
    <w:p w14:paraId="1FBF08CF" w14:textId="02A1CCCA" w:rsidR="005B0DAD" w:rsidRDefault="00A3059B" w:rsidP="00A3059B">
      <w:pPr>
        <w:rPr>
          <w:color w:val="000000"/>
        </w:rPr>
      </w:pPr>
      <w:r w:rsidRPr="00A3059B">
        <w:rPr>
          <w:b/>
          <w:bCs/>
          <w:color w:val="000000"/>
        </w:rPr>
        <w:t>Attendance Policy</w:t>
      </w:r>
      <w:r w:rsidRPr="00A3059B">
        <w:rPr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A3059B">
        <w:rPr>
          <w:color w:val="000000"/>
        </w:rPr>
        <w:t>I will not formally take attendance, but I expect students to attend all class sessions.</w:t>
      </w:r>
    </w:p>
    <w:p w14:paraId="143A1FBA" w14:textId="77777777" w:rsidR="00A3059B" w:rsidRPr="00A3059B" w:rsidRDefault="00A3059B" w:rsidP="00A3059B">
      <w:pPr>
        <w:rPr>
          <w:b/>
          <w:bCs/>
          <w:color w:val="000000"/>
        </w:rPr>
      </w:pPr>
    </w:p>
    <w:p w14:paraId="1693FBFD" w14:textId="3C40DF30" w:rsidR="00AF1DFC" w:rsidRPr="00A111C0" w:rsidRDefault="00AF1DFC" w:rsidP="00AF1D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Evaluation</w:t>
      </w:r>
    </w:p>
    <w:p w14:paraId="4636DA2C" w14:textId="77777777" w:rsidR="00AF1DFC" w:rsidRDefault="00AF1DFC" w:rsidP="00AF1DFC">
      <w:pPr>
        <w:rPr>
          <w:rFonts w:eastAsiaTheme="minorHAnsi" w:cs="Helvetica"/>
        </w:rPr>
      </w:pPr>
    </w:p>
    <w:p w14:paraId="415CABD7" w14:textId="70F63DCA" w:rsidR="00AF1DFC" w:rsidRPr="006372DE" w:rsidRDefault="00AF1DFC" w:rsidP="00AF1DFC">
      <w:pPr>
        <w:rPr>
          <w:b/>
          <w:color w:val="000000"/>
        </w:rPr>
      </w:pPr>
      <w:r w:rsidRPr="009D6C6C">
        <w:rPr>
          <w:b/>
          <w:color w:val="000000"/>
        </w:rPr>
        <w:t>Class participation</w:t>
      </w:r>
      <w:r>
        <w:rPr>
          <w:b/>
          <w:color w:val="000000"/>
        </w:rPr>
        <w:t xml:space="preserve"> </w:t>
      </w:r>
      <w:r w:rsidRPr="00AF1DFC">
        <w:rPr>
          <w:bCs/>
          <w:color w:val="000000"/>
        </w:rPr>
        <w:t>(</w:t>
      </w:r>
      <w:r>
        <w:rPr>
          <w:color w:val="000000"/>
        </w:rPr>
        <w:t>20%</w:t>
      </w:r>
      <w:r>
        <w:rPr>
          <w:b/>
          <w:color w:val="000000"/>
        </w:rPr>
        <w:t xml:space="preserve">) </w:t>
      </w:r>
      <w:r w:rsidRPr="001B265C">
        <w:rPr>
          <w:color w:val="000000"/>
        </w:rPr>
        <w:t xml:space="preserve">In preparation for class discussions, students will prepare </w:t>
      </w:r>
      <w:r>
        <w:rPr>
          <w:color w:val="000000"/>
        </w:rPr>
        <w:t xml:space="preserve">detailed </w:t>
      </w:r>
      <w:r w:rsidRPr="001B265C">
        <w:rPr>
          <w:color w:val="000000"/>
        </w:rPr>
        <w:t xml:space="preserve">notes and questions </w:t>
      </w:r>
      <w:r>
        <w:rPr>
          <w:color w:val="000000"/>
        </w:rPr>
        <w:t xml:space="preserve">on </w:t>
      </w:r>
      <w:r w:rsidRPr="001B265C">
        <w:rPr>
          <w:color w:val="000000"/>
        </w:rPr>
        <w:t>the as</w:t>
      </w:r>
      <w:r>
        <w:rPr>
          <w:color w:val="000000"/>
        </w:rPr>
        <w:t>signed primary texts</w:t>
      </w:r>
      <w:r w:rsidRPr="001B265C">
        <w:rPr>
          <w:color w:val="000000"/>
        </w:rPr>
        <w:t xml:space="preserve"> </w:t>
      </w:r>
      <w:r>
        <w:rPr>
          <w:color w:val="000000"/>
        </w:rPr>
        <w:t xml:space="preserve">as well as on the </w:t>
      </w:r>
      <w:r w:rsidRPr="001B265C">
        <w:rPr>
          <w:color w:val="000000"/>
        </w:rPr>
        <w:t>secondary readings</w:t>
      </w:r>
      <w:r>
        <w:rPr>
          <w:color w:val="000000"/>
        </w:rPr>
        <w:t xml:space="preserve">. </w:t>
      </w:r>
    </w:p>
    <w:p w14:paraId="7E0054CB" w14:textId="1B39397D" w:rsidR="0065635A" w:rsidRDefault="00705B4B"/>
    <w:p w14:paraId="5C1CF2E5" w14:textId="0EAFB056" w:rsidR="00AF1DFC" w:rsidRDefault="00AF1DFC">
      <w:r w:rsidRPr="00AF1DFC">
        <w:rPr>
          <w:b/>
          <w:bCs/>
        </w:rPr>
        <w:t xml:space="preserve">Short Presentation and Discussion Leadership on Jonah in </w:t>
      </w:r>
      <w:r w:rsidR="003E3D82">
        <w:rPr>
          <w:b/>
          <w:bCs/>
        </w:rPr>
        <w:t xml:space="preserve">Art and </w:t>
      </w:r>
      <w:r w:rsidRPr="00AF1DFC">
        <w:rPr>
          <w:b/>
          <w:bCs/>
        </w:rPr>
        <w:t>Popular Culture</w:t>
      </w:r>
      <w:r>
        <w:t xml:space="preserve"> (30%).</w:t>
      </w:r>
      <w:r w:rsidR="002459A8" w:rsidRPr="002459A8">
        <w:t xml:space="preserve"> </w:t>
      </w:r>
      <w:r w:rsidR="002459A8">
        <w:t xml:space="preserve">Sign up for Week 2, 3, or 4. </w:t>
      </w:r>
    </w:p>
    <w:p w14:paraId="242588C1" w14:textId="00D4E2FE" w:rsidR="003E3D82" w:rsidRPr="002459A8" w:rsidRDefault="003E3D82" w:rsidP="003E3D82">
      <w:pPr>
        <w:pStyle w:val="ListParagraph"/>
        <w:numPr>
          <w:ilvl w:val="0"/>
          <w:numId w:val="1"/>
        </w:numPr>
      </w:pPr>
      <w:r>
        <w:t xml:space="preserve">art and popular culture need not be limited to contemporary popular culture </w:t>
      </w:r>
    </w:p>
    <w:p w14:paraId="44C9475A" w14:textId="77777777" w:rsidR="00AF1DFC" w:rsidRPr="00AF1DFC" w:rsidRDefault="00AF1DFC" w:rsidP="00AF1DFC">
      <w:pPr>
        <w:pStyle w:val="ListParagraph"/>
        <w:numPr>
          <w:ilvl w:val="0"/>
          <w:numId w:val="1"/>
        </w:numPr>
      </w:pPr>
      <w:r w:rsidRPr="00AF1DFC">
        <w:rPr>
          <w:color w:val="000000"/>
        </w:rPr>
        <w:lastRenderedPageBreak/>
        <w:t xml:space="preserve">how </w:t>
      </w:r>
      <w:r>
        <w:rPr>
          <w:color w:val="000000"/>
        </w:rPr>
        <w:t xml:space="preserve">has </w:t>
      </w:r>
      <w:r w:rsidRPr="00AF1DFC">
        <w:rPr>
          <w:color w:val="000000"/>
        </w:rPr>
        <w:t>the historical and social context of the interpreter has shaped the interpretation</w:t>
      </w:r>
      <w:r>
        <w:rPr>
          <w:color w:val="000000"/>
        </w:rPr>
        <w:t>?</w:t>
      </w:r>
      <w:r w:rsidRPr="00AF1DFC">
        <w:rPr>
          <w:color w:val="000000"/>
        </w:rPr>
        <w:t xml:space="preserve"> </w:t>
      </w:r>
    </w:p>
    <w:p w14:paraId="09B597B4" w14:textId="16D1833E" w:rsidR="00AF1DFC" w:rsidRPr="00262B2F" w:rsidRDefault="00AF1DFC" w:rsidP="00AF1DFC">
      <w:pPr>
        <w:pStyle w:val="ListParagraph"/>
        <w:numPr>
          <w:ilvl w:val="0"/>
          <w:numId w:val="1"/>
        </w:numPr>
      </w:pPr>
      <w:r>
        <w:rPr>
          <w:color w:val="000000"/>
        </w:rPr>
        <w:t>w</w:t>
      </w:r>
      <w:r w:rsidRPr="00AF1DFC">
        <w:rPr>
          <w:color w:val="000000"/>
        </w:rPr>
        <w:t xml:space="preserve">hich latent or explicit elements in the text </w:t>
      </w:r>
      <w:r w:rsidR="002459A8">
        <w:rPr>
          <w:color w:val="000000"/>
        </w:rPr>
        <w:t>does the popular</w:t>
      </w:r>
      <w:r w:rsidRPr="00AF1DFC">
        <w:rPr>
          <w:color w:val="000000"/>
        </w:rPr>
        <w:t xml:space="preserve"> interpretation amplif</w:t>
      </w:r>
      <w:r w:rsidR="002459A8">
        <w:rPr>
          <w:color w:val="000000"/>
        </w:rPr>
        <w:t>y</w:t>
      </w:r>
      <w:r w:rsidRPr="00AF1DFC">
        <w:rPr>
          <w:color w:val="000000"/>
        </w:rPr>
        <w:t>, minimize, expand on, etc.</w:t>
      </w:r>
      <w:r w:rsidR="002459A8">
        <w:rPr>
          <w:color w:val="000000"/>
        </w:rPr>
        <w:t>?</w:t>
      </w:r>
    </w:p>
    <w:p w14:paraId="7EA4A2DB" w14:textId="32F971B2" w:rsidR="00262B2F" w:rsidRPr="00AF1DFC" w:rsidRDefault="00262B2F" w:rsidP="00AF1DFC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what is </w:t>
      </w:r>
      <w:r w:rsidRPr="00FC46DF">
        <w:rPr>
          <w:color w:val="000000"/>
        </w:rPr>
        <w:t>the relevance of this interpretation for you and/or your communities</w:t>
      </w:r>
      <w:r>
        <w:rPr>
          <w:color w:val="000000"/>
        </w:rPr>
        <w:t xml:space="preserve"> (to be raised in discussion</w:t>
      </w:r>
      <w:proofErr w:type="gramStart"/>
      <w:r>
        <w:rPr>
          <w:color w:val="000000"/>
        </w:rPr>
        <w:t>)</w:t>
      </w:r>
      <w:proofErr w:type="gramEnd"/>
    </w:p>
    <w:p w14:paraId="1043DF13" w14:textId="77777777" w:rsidR="00262B2F" w:rsidRDefault="00262B2F" w:rsidP="00262B2F">
      <w:pPr>
        <w:rPr>
          <w:b/>
          <w:bCs/>
          <w:color w:val="000000"/>
        </w:rPr>
      </w:pPr>
    </w:p>
    <w:p w14:paraId="4C04CF86" w14:textId="5DC17B7F" w:rsidR="00262B2F" w:rsidRPr="00705B4B" w:rsidRDefault="00262B2F" w:rsidP="00262B2F">
      <w:pPr>
        <w:rPr>
          <w:strike/>
          <w:color w:val="000000"/>
        </w:rPr>
      </w:pPr>
      <w:r w:rsidRPr="00705B4B">
        <w:rPr>
          <w:b/>
          <w:bCs/>
          <w:strike/>
          <w:color w:val="000000"/>
        </w:rPr>
        <w:t>Final Paper</w:t>
      </w:r>
      <w:r w:rsidRPr="00705B4B">
        <w:rPr>
          <w:strike/>
          <w:color w:val="000000"/>
        </w:rPr>
        <w:t xml:space="preserve"> (4-6 pages; 50%) on one of Jonah’s afterlives</w:t>
      </w:r>
      <w:r w:rsidR="007E5596" w:rsidRPr="00705B4B">
        <w:rPr>
          <w:strike/>
          <w:color w:val="000000"/>
        </w:rPr>
        <w:t xml:space="preserve"> and how it connects to or even arose from a particular detail, theme, or image in the book of Jonah</w:t>
      </w:r>
      <w:r w:rsidRPr="00705B4B">
        <w:rPr>
          <w:strike/>
          <w:color w:val="000000"/>
        </w:rPr>
        <w:t>. I expect your bibliography to include at least 2 monographs and 2-3 scholarly articles. Late papers will be graded down one full letter grade for each 24-hour period they are late.</w:t>
      </w:r>
      <w:r w:rsidR="00705B4B" w:rsidRPr="00705B4B">
        <w:rPr>
          <w:color w:val="000000"/>
        </w:rPr>
        <w:t xml:space="preserve"> (</w:t>
      </w:r>
      <w:proofErr w:type="gramStart"/>
      <w:r w:rsidR="00705B4B" w:rsidRPr="00705B4B">
        <w:rPr>
          <w:color w:val="000000"/>
        </w:rPr>
        <w:t>no</w:t>
      </w:r>
      <w:proofErr w:type="gramEnd"/>
      <w:r w:rsidR="00705B4B" w:rsidRPr="00705B4B">
        <w:rPr>
          <w:color w:val="000000"/>
        </w:rPr>
        <w:t xml:space="preserve"> paper for 2 </w:t>
      </w:r>
      <w:proofErr w:type="spellStart"/>
      <w:r w:rsidR="00705B4B" w:rsidRPr="00705B4B">
        <w:rPr>
          <w:color w:val="000000"/>
        </w:rPr>
        <w:t>cr</w:t>
      </w:r>
      <w:proofErr w:type="spellEnd"/>
      <w:r w:rsidR="00705B4B" w:rsidRPr="00705B4B">
        <w:rPr>
          <w:color w:val="000000"/>
        </w:rPr>
        <w:t xml:space="preserve"> version of this class)</w:t>
      </w:r>
    </w:p>
    <w:p w14:paraId="55D523C8" w14:textId="5A86C26E" w:rsidR="00A66FE5" w:rsidRDefault="00A66FE5" w:rsidP="00262B2F">
      <w:pPr>
        <w:rPr>
          <w:color w:val="000000"/>
        </w:rPr>
      </w:pPr>
    </w:p>
    <w:p w14:paraId="7EDDEE98" w14:textId="3AC53A1E" w:rsidR="002772D8" w:rsidRPr="002772D8" w:rsidRDefault="002772D8" w:rsidP="00262B2F">
      <w:pPr>
        <w:rPr>
          <w:b/>
          <w:bCs/>
          <w:color w:val="000000"/>
          <w:sz w:val="28"/>
          <w:szCs w:val="28"/>
        </w:rPr>
      </w:pPr>
      <w:r w:rsidRPr="002772D8">
        <w:rPr>
          <w:b/>
          <w:bCs/>
          <w:color w:val="000000"/>
          <w:sz w:val="28"/>
          <w:szCs w:val="28"/>
        </w:rPr>
        <w:t>Books</w:t>
      </w:r>
    </w:p>
    <w:p w14:paraId="3B535E86" w14:textId="085E1B6A" w:rsidR="002772D8" w:rsidRDefault="002772D8" w:rsidP="00262B2F">
      <w:pPr>
        <w:rPr>
          <w:color w:val="000000"/>
        </w:rPr>
      </w:pPr>
    </w:p>
    <w:p w14:paraId="1D4E7818" w14:textId="5D713376" w:rsidR="002772D8" w:rsidRDefault="002772D8" w:rsidP="00262B2F">
      <w:pPr>
        <w:rPr>
          <w:rFonts w:asciiTheme="majorBidi" w:eastAsia="Arial Unicode MS" w:hAnsiTheme="majorBidi" w:cstheme="majorBidi"/>
          <w:color w:val="000000"/>
          <w:shd w:val="clear" w:color="auto" w:fill="FFFFFF"/>
        </w:rPr>
      </w:pPr>
      <w:r w:rsidRPr="004C28AE">
        <w:rPr>
          <w:rFonts w:asciiTheme="majorBidi" w:eastAsia="Arial Unicode MS" w:hAnsiTheme="majorBidi" w:cstheme="majorBidi"/>
          <w:color w:val="000000"/>
          <w:shd w:val="clear" w:color="auto" w:fill="FFFFFF"/>
        </w:rPr>
        <w:t>Gregg, R. C.</w:t>
      </w:r>
      <w:r w:rsidRPr="004C28AE">
        <w:rPr>
          <w:rStyle w:val="apple-converted-space"/>
          <w:rFonts w:asciiTheme="majorBidi" w:eastAsia="Arial Unicode MS" w:hAnsiTheme="majorBidi" w:cstheme="majorBidi"/>
          <w:color w:val="000000"/>
          <w:shd w:val="clear" w:color="auto" w:fill="FFFFFF"/>
        </w:rPr>
        <w:t> </w:t>
      </w:r>
      <w:r w:rsidRPr="004C28AE">
        <w:rPr>
          <w:rFonts w:asciiTheme="majorBidi" w:eastAsia="Arial Unicode MS" w:hAnsiTheme="majorBidi" w:cstheme="majorBidi"/>
          <w:i/>
          <w:iCs/>
          <w:color w:val="000000"/>
          <w:shd w:val="clear" w:color="auto" w:fill="FFFFFF"/>
        </w:rPr>
        <w:t xml:space="preserve">Shared Stories, Rival </w:t>
      </w:r>
      <w:proofErr w:type="spellStart"/>
      <w:r w:rsidRPr="004C28AE">
        <w:rPr>
          <w:rFonts w:asciiTheme="majorBidi" w:eastAsia="Arial Unicode MS" w:hAnsiTheme="majorBidi" w:cstheme="majorBidi"/>
          <w:i/>
          <w:iCs/>
          <w:color w:val="000000"/>
          <w:shd w:val="clear" w:color="auto" w:fill="FFFFFF"/>
        </w:rPr>
        <w:t>Tellings</w:t>
      </w:r>
      <w:proofErr w:type="spellEnd"/>
      <w:r w:rsidRPr="004C28AE">
        <w:rPr>
          <w:rFonts w:asciiTheme="majorBidi" w:eastAsia="Arial Unicode MS" w:hAnsiTheme="majorBidi" w:cstheme="majorBidi"/>
          <w:i/>
          <w:iCs/>
          <w:color w:val="000000"/>
          <w:shd w:val="clear" w:color="auto" w:fill="FFFFFF"/>
        </w:rPr>
        <w:t>: Early Encounters of Jews, Christians, and Muslims</w:t>
      </w:r>
      <w:r w:rsidRPr="004C28AE">
        <w:rPr>
          <w:rFonts w:asciiTheme="majorBidi" w:eastAsia="Arial Unicode MS" w:hAnsiTheme="majorBidi" w:cstheme="majorBidi"/>
          <w:color w:val="000000"/>
          <w:shd w:val="clear" w:color="auto" w:fill="FFFFFF"/>
        </w:rPr>
        <w:t>. New York: Oxford, 2015</w:t>
      </w:r>
      <w:r w:rsidR="00D27DD1">
        <w:rPr>
          <w:rFonts w:asciiTheme="majorBidi" w:eastAsia="Arial Unicode MS" w:hAnsiTheme="majorBidi" w:cstheme="majorBidi"/>
          <w:color w:val="000000"/>
          <w:shd w:val="clear" w:color="auto" w:fill="FFFFFF"/>
        </w:rPr>
        <w:t>.</w:t>
      </w:r>
    </w:p>
    <w:p w14:paraId="5AD021EA" w14:textId="7DB1E4FF" w:rsidR="00D27DD1" w:rsidRDefault="00D27DD1" w:rsidP="00262B2F">
      <w:pPr>
        <w:rPr>
          <w:rFonts w:asciiTheme="majorBidi" w:eastAsia="Arial Unicode MS" w:hAnsiTheme="majorBidi" w:cstheme="majorBidi"/>
          <w:color w:val="000000"/>
          <w:shd w:val="clear" w:color="auto" w:fill="FFFFFF"/>
        </w:rPr>
      </w:pPr>
    </w:p>
    <w:p w14:paraId="2BCAE2EA" w14:textId="6926A397" w:rsidR="00D27DD1" w:rsidRDefault="00D27DD1" w:rsidP="00D27DD1">
      <w:r>
        <w:rPr>
          <w:iCs/>
        </w:rPr>
        <w:t xml:space="preserve">For reference and for paper ideas, you might </w:t>
      </w:r>
      <w:proofErr w:type="gramStart"/>
      <w:r>
        <w:rPr>
          <w:iCs/>
        </w:rPr>
        <w:t>take a look</w:t>
      </w:r>
      <w:proofErr w:type="gramEnd"/>
      <w:r>
        <w:rPr>
          <w:iCs/>
        </w:rPr>
        <w:t xml:space="preserve"> at: Erickson, Amy. </w:t>
      </w:r>
      <w:r w:rsidRPr="00CE709E">
        <w:rPr>
          <w:i/>
        </w:rPr>
        <w:t xml:space="preserve">Jonah: </w:t>
      </w:r>
      <w:r>
        <w:rPr>
          <w:i/>
        </w:rPr>
        <w:t xml:space="preserve">Introduction and </w:t>
      </w:r>
      <w:r w:rsidRPr="00CE709E">
        <w:rPr>
          <w:i/>
        </w:rPr>
        <w:t xml:space="preserve">Commentary. </w:t>
      </w:r>
      <w:r w:rsidRPr="00CE709E">
        <w:t>Illuminations</w:t>
      </w:r>
      <w:r>
        <w:t xml:space="preserve"> Series</w:t>
      </w:r>
      <w:r w:rsidRPr="00CE709E">
        <w:t xml:space="preserve">. </w:t>
      </w:r>
      <w:r>
        <w:t>Grand Rapids, MI: Wm. B. Eerdmans, 2021</w:t>
      </w:r>
      <w:r w:rsidRPr="00CE709E">
        <w:t>.</w:t>
      </w:r>
    </w:p>
    <w:p w14:paraId="0A5EBA2A" w14:textId="6F189CB8" w:rsidR="0060098F" w:rsidRDefault="0060098F" w:rsidP="00D27DD1"/>
    <w:p w14:paraId="1E413947" w14:textId="39805C5D" w:rsidR="0060098F" w:rsidRPr="00CE709E" w:rsidRDefault="0060098F" w:rsidP="00D27DD1">
      <w:r>
        <w:t xml:space="preserve">Also suggested </w:t>
      </w:r>
      <w:proofErr w:type="gramStart"/>
      <w:r>
        <w:t>is:</w:t>
      </w:r>
      <w:proofErr w:type="gramEnd"/>
      <w:r>
        <w:t xml:space="preserve"> Sherwood, Yvonne. </w:t>
      </w:r>
      <w:r>
        <w:rPr>
          <w:i/>
        </w:rPr>
        <w:t>A Biblical Text and its Afterlives: The Survival of Jonah in Western Culture.</w:t>
      </w:r>
      <w:r>
        <w:t xml:space="preserve"> Cambridge: Cambridge University Press, 2000</w:t>
      </w:r>
      <w:r w:rsidR="00BD2AD4">
        <w:t>.</w:t>
      </w:r>
    </w:p>
    <w:p w14:paraId="2CAB066B" w14:textId="77777777" w:rsidR="00D27DD1" w:rsidRPr="00262B2F" w:rsidRDefault="00D27DD1" w:rsidP="00262B2F">
      <w:pPr>
        <w:rPr>
          <w:color w:val="000000"/>
        </w:rPr>
      </w:pPr>
    </w:p>
    <w:p w14:paraId="1BA9DD56" w14:textId="05E4AE68" w:rsidR="002459A8" w:rsidRDefault="002459A8"/>
    <w:p w14:paraId="402CEBA1" w14:textId="77777777" w:rsidR="00A66FE5" w:rsidRPr="003E51FA" w:rsidRDefault="00A66FE5" w:rsidP="00A66FE5">
      <w:pPr>
        <w:rPr>
          <w:rFonts w:eastAsiaTheme="minorHAnsi" w:cs="Helvetica"/>
          <w:b/>
          <w:sz w:val="32"/>
          <w:szCs w:val="32"/>
        </w:rPr>
      </w:pPr>
      <w:r w:rsidRPr="003E51FA">
        <w:rPr>
          <w:rFonts w:eastAsiaTheme="minorHAnsi" w:cs="Helvetica"/>
          <w:b/>
          <w:sz w:val="32"/>
          <w:szCs w:val="32"/>
        </w:rPr>
        <w:t>Schedule</w:t>
      </w:r>
    </w:p>
    <w:p w14:paraId="31036F73" w14:textId="6BD753EF" w:rsidR="00A66FE5" w:rsidRDefault="00A66FE5"/>
    <w:p w14:paraId="03657CB6" w14:textId="05DF34CF" w:rsidR="00526710" w:rsidRDefault="00A66FE5" w:rsidP="00A66FE5">
      <w:pPr>
        <w:rPr>
          <w:b/>
          <w:sz w:val="28"/>
        </w:rPr>
      </w:pPr>
      <w:r>
        <w:rPr>
          <w:b/>
          <w:sz w:val="28"/>
        </w:rPr>
        <w:t>Week 1</w:t>
      </w:r>
      <w:r w:rsidR="00A3059B">
        <w:rPr>
          <w:b/>
          <w:sz w:val="28"/>
        </w:rPr>
        <w:t>: March 31</w:t>
      </w:r>
    </w:p>
    <w:p w14:paraId="72C1016B" w14:textId="3456DCE8" w:rsidR="00A66FE5" w:rsidRPr="00976746" w:rsidRDefault="00A66FE5" w:rsidP="00A66FE5">
      <w:pPr>
        <w:rPr>
          <w:b/>
          <w:sz w:val="28"/>
        </w:rPr>
      </w:pPr>
      <w:r w:rsidRPr="00976746">
        <w:rPr>
          <w:b/>
          <w:sz w:val="28"/>
        </w:rPr>
        <w:t xml:space="preserve">Jonah 1 and Early Jewish Interpretation </w:t>
      </w:r>
    </w:p>
    <w:p w14:paraId="4CDB2088" w14:textId="0D7BE36A" w:rsidR="00A66FE5" w:rsidRDefault="00A66FE5" w:rsidP="00A66FE5"/>
    <w:p w14:paraId="1FED4A6C" w14:textId="77777777" w:rsidR="00A66FE5" w:rsidRDefault="00A66FE5" w:rsidP="00A66FE5">
      <w:pPr>
        <w:pStyle w:val="Default"/>
        <w:rPr>
          <w:rFonts w:ascii="Times New Roman" w:hAnsi="Times New Roman" w:cs="Andalus"/>
          <w:bCs/>
          <w:iCs/>
          <w:color w:val="auto"/>
          <w:szCs w:val="16"/>
        </w:rPr>
      </w:pPr>
      <w:r w:rsidRPr="0048224C">
        <w:rPr>
          <w:rFonts w:ascii="Times New Roman" w:hAnsi="Times New Roman"/>
        </w:rPr>
        <w:t>Beal</w:t>
      </w:r>
      <w:r>
        <w:rPr>
          <w:rFonts w:ascii="Times New Roman" w:hAnsi="Times New Roman"/>
        </w:rPr>
        <w:t xml:space="preserve">, Timothy. “Reception History and Beyond: Toward the Cultural History of Scriptures.” </w:t>
      </w:r>
      <w:r w:rsidRPr="0048224C">
        <w:rPr>
          <w:rFonts w:ascii="Times New Roman" w:hAnsi="Times New Roman" w:cs="Andalus"/>
          <w:bCs/>
          <w:i/>
          <w:iCs/>
          <w:color w:val="auto"/>
          <w:szCs w:val="16"/>
        </w:rPr>
        <w:t>Biblical Interpretation 19</w:t>
      </w:r>
      <w:r w:rsidRPr="00097EE5">
        <w:rPr>
          <w:rFonts w:ascii="Times New Roman" w:hAnsi="Times New Roman" w:cs="Andalus"/>
          <w:bCs/>
          <w:iCs/>
          <w:color w:val="auto"/>
          <w:szCs w:val="16"/>
        </w:rPr>
        <w:t xml:space="preserve"> (2011) 357-372</w:t>
      </w:r>
    </w:p>
    <w:p w14:paraId="64D02376" w14:textId="6D4CE1EE" w:rsidR="00A66FE5" w:rsidRDefault="00A66FE5" w:rsidP="00A66FE5"/>
    <w:p w14:paraId="0B5FC32D" w14:textId="254501E6" w:rsidR="00A66FE5" w:rsidRDefault="00A66FE5" w:rsidP="00A66FE5">
      <w:r>
        <w:t>Read the book of Jonah in three different translations (or in Hebrew). Annotate (with questions and observations) Jonah 1.</w:t>
      </w:r>
    </w:p>
    <w:p w14:paraId="29AF297E" w14:textId="3FD781AB" w:rsidR="00B759BA" w:rsidRDefault="00B759BA" w:rsidP="00A66FE5"/>
    <w:p w14:paraId="49964E1E" w14:textId="0BC0A2CC" w:rsidR="00B759BA" w:rsidRDefault="00B759BA" w:rsidP="00A66FE5">
      <w:r>
        <w:t>Primary Texts</w:t>
      </w:r>
    </w:p>
    <w:p w14:paraId="0D3BFA2E" w14:textId="77777777" w:rsidR="00A66FE5" w:rsidRDefault="00A66FE5" w:rsidP="00A66FE5"/>
    <w:p w14:paraId="50F95F52" w14:textId="415C31F6" w:rsidR="00A66FE5" w:rsidRDefault="00A66FE5" w:rsidP="00A66FE5">
      <w:pPr>
        <w:pStyle w:val="Heading1"/>
        <w:spacing w:before="2" w:after="2"/>
        <w:rPr>
          <w:b w:val="0"/>
          <w:sz w:val="24"/>
        </w:rPr>
      </w:pPr>
      <w:r w:rsidRPr="00EF4965">
        <w:rPr>
          <w:b w:val="0"/>
          <w:sz w:val="24"/>
        </w:rPr>
        <w:t xml:space="preserve">Jacob </w:t>
      </w:r>
      <w:proofErr w:type="spellStart"/>
      <w:r w:rsidRPr="00EF4965">
        <w:rPr>
          <w:b w:val="0"/>
          <w:sz w:val="24"/>
        </w:rPr>
        <w:t>Zallel</w:t>
      </w:r>
      <w:proofErr w:type="spellEnd"/>
      <w:r w:rsidRPr="00EF4965">
        <w:rPr>
          <w:b w:val="0"/>
          <w:sz w:val="24"/>
        </w:rPr>
        <w:t xml:space="preserve"> Lauterbach’s critical edition of </w:t>
      </w:r>
      <w:proofErr w:type="spellStart"/>
      <w:r w:rsidRPr="001A3FC3">
        <w:rPr>
          <w:b w:val="0"/>
          <w:i/>
          <w:sz w:val="24"/>
        </w:rPr>
        <w:t>Mekhilta</w:t>
      </w:r>
      <w:proofErr w:type="spellEnd"/>
      <w:r w:rsidRPr="001A3FC3">
        <w:rPr>
          <w:b w:val="0"/>
          <w:i/>
          <w:sz w:val="24"/>
        </w:rPr>
        <w:t xml:space="preserve"> De-Rabbi Ishmael</w:t>
      </w:r>
      <w:r w:rsidRPr="00EF4965">
        <w:rPr>
          <w:b w:val="0"/>
          <w:sz w:val="24"/>
        </w:rPr>
        <w:t xml:space="preserve"> (JPS Classic Reissues)</w:t>
      </w:r>
      <w:r>
        <w:rPr>
          <w:b w:val="0"/>
          <w:sz w:val="24"/>
        </w:rPr>
        <w:t xml:space="preserve">. Introduction and </w:t>
      </w:r>
      <w:r w:rsidRPr="00EF4965">
        <w:rPr>
          <w:b w:val="0"/>
          <w:sz w:val="24"/>
        </w:rPr>
        <w:t xml:space="preserve">Chapter 1 of Tractate </w:t>
      </w:r>
      <w:proofErr w:type="spellStart"/>
      <w:r w:rsidRPr="00EF4965">
        <w:rPr>
          <w:b w:val="0"/>
          <w:sz w:val="24"/>
        </w:rPr>
        <w:t>Pis</w:t>
      </w:r>
      <w:r w:rsidRPr="00EF4965">
        <w:rPr>
          <w:rFonts w:ascii="Times New Roman" w:hAnsi="Times New Roman" w:cs="Times New Roman"/>
          <w:b w:val="0"/>
          <w:sz w:val="24"/>
        </w:rPr>
        <w:t>ḥ</w:t>
      </w:r>
      <w:r w:rsidRPr="00EF4965">
        <w:rPr>
          <w:b w:val="0"/>
          <w:sz w:val="24"/>
        </w:rPr>
        <w:t>a</w:t>
      </w:r>
      <w:proofErr w:type="spellEnd"/>
      <w:r w:rsidRPr="00EF4965">
        <w:rPr>
          <w:b w:val="0"/>
          <w:sz w:val="24"/>
        </w:rPr>
        <w:t xml:space="preserve"> (refs to Jonah 1). </w:t>
      </w:r>
      <w:r>
        <w:rPr>
          <w:b w:val="0"/>
          <w:sz w:val="24"/>
        </w:rPr>
        <w:t>(PDF)</w:t>
      </w:r>
    </w:p>
    <w:p w14:paraId="09CAB7DD" w14:textId="77777777" w:rsidR="00A66FE5" w:rsidRDefault="00A66FE5" w:rsidP="00A66FE5">
      <w:pPr>
        <w:pStyle w:val="Heading1"/>
        <w:spacing w:before="2" w:after="2"/>
        <w:rPr>
          <w:b w:val="0"/>
          <w:sz w:val="24"/>
        </w:rPr>
      </w:pPr>
    </w:p>
    <w:p w14:paraId="40FC626A" w14:textId="506D1D85" w:rsidR="00A66FE5" w:rsidRDefault="00A66FE5" w:rsidP="00A66FE5">
      <w:pPr>
        <w:pStyle w:val="Heading1"/>
        <w:spacing w:before="2" w:after="2"/>
        <w:rPr>
          <w:b w:val="0"/>
          <w:sz w:val="24"/>
        </w:rPr>
      </w:pPr>
      <w:r>
        <w:rPr>
          <w:b w:val="0"/>
          <w:sz w:val="24"/>
        </w:rPr>
        <w:t>Selections from the</w:t>
      </w:r>
      <w:r w:rsidRPr="00612C08">
        <w:rPr>
          <w:b w:val="0"/>
          <w:i/>
          <w:sz w:val="24"/>
        </w:rPr>
        <w:t xml:space="preserve"> </w:t>
      </w:r>
      <w:r w:rsidRPr="0069723F">
        <w:rPr>
          <w:b w:val="0"/>
          <w:sz w:val="24"/>
        </w:rPr>
        <w:t xml:space="preserve">Talmud </w:t>
      </w:r>
      <w:r>
        <w:rPr>
          <w:b w:val="0"/>
          <w:sz w:val="24"/>
        </w:rPr>
        <w:t>(Jerusalem and Babylonian) and other early Jewish texts.</w:t>
      </w:r>
      <w:r w:rsidR="00B759BA">
        <w:rPr>
          <w:b w:val="0"/>
          <w:sz w:val="24"/>
        </w:rPr>
        <w:t xml:space="preserve"> (PDF)</w:t>
      </w:r>
    </w:p>
    <w:p w14:paraId="2D586123" w14:textId="77777777" w:rsidR="00A66FE5" w:rsidRPr="00612C08" w:rsidRDefault="00A66FE5" w:rsidP="00A66FE5">
      <w:pPr>
        <w:pStyle w:val="Heading1"/>
        <w:spacing w:before="2" w:after="2"/>
        <w:rPr>
          <w:b w:val="0"/>
          <w:sz w:val="24"/>
        </w:rPr>
      </w:pPr>
    </w:p>
    <w:p w14:paraId="32935362" w14:textId="744E9518" w:rsidR="00A66FE5" w:rsidRDefault="00A66FE5" w:rsidP="00A66FE5">
      <w:pPr>
        <w:rPr>
          <w:rStyle w:val="reference-text"/>
        </w:rPr>
      </w:pPr>
      <w:r w:rsidRPr="00221D9D">
        <w:rPr>
          <w:rStyle w:val="reference-text"/>
        </w:rPr>
        <w:t xml:space="preserve">Hare, D. R. A. </w:t>
      </w:r>
      <w:r w:rsidRPr="00221D9D">
        <w:rPr>
          <w:rStyle w:val="reference-text"/>
          <w:i/>
        </w:rPr>
        <w:t>The Lives of the Prophets.</w:t>
      </w:r>
      <w:r w:rsidRPr="00221D9D">
        <w:rPr>
          <w:rStyle w:val="reference-text"/>
        </w:rPr>
        <w:t xml:space="preserve"> In </w:t>
      </w:r>
      <w:r w:rsidRPr="00221D9D">
        <w:rPr>
          <w:rStyle w:val="reference-text"/>
          <w:i/>
        </w:rPr>
        <w:t>The Old Testament Pseudepigrapha</w:t>
      </w:r>
      <w:r w:rsidRPr="00221D9D">
        <w:rPr>
          <w:rStyle w:val="reference-text"/>
        </w:rPr>
        <w:t xml:space="preserve">: </w:t>
      </w:r>
      <w:r w:rsidRPr="00221D9D">
        <w:rPr>
          <w:rFonts w:eastAsia="Arial Unicode MS"/>
          <w:i/>
          <w:iCs/>
          <w:color w:val="000000"/>
          <w:shd w:val="clear" w:color="auto" w:fill="FFFFFF"/>
        </w:rPr>
        <w:t>Expansions of the "Old Testament" and Legends, Wisdom and Philosophical Literature, Prayers, Psalms, and Odes, Fragments of Lost Judeo-Hellenistic Works</w:t>
      </w:r>
      <w:r w:rsidRPr="00221D9D">
        <w:rPr>
          <w:rStyle w:val="reference-text"/>
        </w:rPr>
        <w:t>. Ed. J. Charlesworth. New York: Doubleday, 1985. 379-400.</w:t>
      </w:r>
    </w:p>
    <w:p w14:paraId="58F29E02" w14:textId="77777777" w:rsidR="00A66FE5" w:rsidRDefault="00A66FE5" w:rsidP="00A66FE5"/>
    <w:p w14:paraId="6EA49089" w14:textId="268BC566" w:rsidR="00A66FE5" w:rsidRDefault="00A66FE5" w:rsidP="00A66FE5">
      <w:r>
        <w:t xml:space="preserve">What questions does Jonah 1 raise for the rabbis? What texts are read on conversation (intertextuality) with Jonah and why are these texts brought in (or </w:t>
      </w:r>
      <w:proofErr w:type="gramStart"/>
      <w:r>
        <w:t>with regard to</w:t>
      </w:r>
      <w:proofErr w:type="gramEnd"/>
      <w:r>
        <w:t xml:space="preserve"> the </w:t>
      </w:r>
      <w:proofErr w:type="spellStart"/>
      <w:r>
        <w:t>Mekhilta</w:t>
      </w:r>
      <w:proofErr w:type="spellEnd"/>
      <w:r>
        <w:t>, why is Jonah relevant for debate about Exodus 12:1? What questions are raised about Exodus?)? What is the nature/range of the debate btw the rabbis? How is Jonah viewed? (</w:t>
      </w:r>
      <w:proofErr w:type="gramStart"/>
      <w:r>
        <w:t>who</w:t>
      </w:r>
      <w:proofErr w:type="gramEnd"/>
      <w:r>
        <w:t xml:space="preserve"> –what biblical characters- is he compared to?) How is God viewed? </w:t>
      </w:r>
    </w:p>
    <w:p w14:paraId="5B20953F" w14:textId="0C0A7EC3" w:rsidR="00526710" w:rsidRDefault="00526710" w:rsidP="00A66FE5"/>
    <w:p w14:paraId="09ADAF66" w14:textId="2F2BDB7D" w:rsidR="00526710" w:rsidRDefault="00526710" w:rsidP="00A66FE5">
      <w:r>
        <w:t>Secondary Readings</w:t>
      </w:r>
    </w:p>
    <w:p w14:paraId="161BAEB2" w14:textId="77777777" w:rsidR="00A66FE5" w:rsidRDefault="00A66FE5" w:rsidP="00A66FE5"/>
    <w:p w14:paraId="55D4E7F8" w14:textId="77777777" w:rsidR="00526710" w:rsidRDefault="00526710" w:rsidP="00526710">
      <w:proofErr w:type="spellStart"/>
      <w:r>
        <w:t>Zetterholm</w:t>
      </w:r>
      <w:proofErr w:type="spellEnd"/>
      <w:r>
        <w:t xml:space="preserve">, Karin H. </w:t>
      </w:r>
      <w:r w:rsidRPr="00D53C99">
        <w:rPr>
          <w:i/>
        </w:rPr>
        <w:t>Jewish Interpretation of the Bible</w:t>
      </w:r>
      <w:r>
        <w:t xml:space="preserve">, 1-38 </w:t>
      </w:r>
    </w:p>
    <w:p w14:paraId="63D3E7BD" w14:textId="77777777" w:rsidR="00526710" w:rsidRDefault="00526710" w:rsidP="00526710"/>
    <w:p w14:paraId="536E24E9" w14:textId="77777777" w:rsidR="00526710" w:rsidRPr="00526710" w:rsidRDefault="00526710" w:rsidP="00526710">
      <w:pPr>
        <w:rPr>
          <w:rFonts w:asciiTheme="majorBidi" w:eastAsia="Arial Unicode MS" w:hAnsiTheme="majorBidi" w:cstheme="majorBidi"/>
          <w:color w:val="000000"/>
          <w:shd w:val="clear" w:color="auto" w:fill="FFFFFF"/>
        </w:rPr>
      </w:pPr>
      <w:r w:rsidRPr="004C28AE">
        <w:rPr>
          <w:rFonts w:asciiTheme="majorBidi" w:eastAsia="Arial Unicode MS" w:hAnsiTheme="majorBidi" w:cstheme="majorBidi"/>
          <w:color w:val="000000"/>
          <w:shd w:val="clear" w:color="auto" w:fill="FFFFFF"/>
        </w:rPr>
        <w:t>Gregg, R. C.</w:t>
      </w:r>
      <w:r w:rsidRPr="004C28AE">
        <w:rPr>
          <w:rStyle w:val="apple-converted-space"/>
          <w:rFonts w:asciiTheme="majorBidi" w:eastAsia="Arial Unicode MS" w:hAnsiTheme="majorBidi" w:cstheme="majorBidi"/>
          <w:color w:val="000000"/>
          <w:shd w:val="clear" w:color="auto" w:fill="FFFFFF"/>
        </w:rPr>
        <w:t> </w:t>
      </w:r>
      <w:r w:rsidRPr="004C28AE">
        <w:rPr>
          <w:rFonts w:asciiTheme="majorBidi" w:eastAsia="Arial Unicode MS" w:hAnsiTheme="majorBidi" w:cstheme="majorBidi"/>
          <w:i/>
          <w:iCs/>
          <w:color w:val="000000"/>
          <w:shd w:val="clear" w:color="auto" w:fill="FFFFFF"/>
        </w:rPr>
        <w:t xml:space="preserve">Shared Stories, Rival </w:t>
      </w:r>
      <w:proofErr w:type="spellStart"/>
      <w:r w:rsidRPr="004C28AE">
        <w:rPr>
          <w:rFonts w:asciiTheme="majorBidi" w:eastAsia="Arial Unicode MS" w:hAnsiTheme="majorBidi" w:cstheme="majorBidi"/>
          <w:i/>
          <w:iCs/>
          <w:color w:val="000000"/>
          <w:shd w:val="clear" w:color="auto" w:fill="FFFFFF"/>
        </w:rPr>
        <w:t>Tellings</w:t>
      </w:r>
      <w:proofErr w:type="spellEnd"/>
      <w:r w:rsidRPr="004C28AE">
        <w:rPr>
          <w:rFonts w:asciiTheme="majorBidi" w:eastAsia="Arial Unicode MS" w:hAnsiTheme="majorBidi" w:cstheme="majorBidi"/>
          <w:i/>
          <w:iCs/>
          <w:color w:val="000000"/>
          <w:shd w:val="clear" w:color="auto" w:fill="FFFFFF"/>
        </w:rPr>
        <w:t>: Early Encounters of Jews, Christians, and Muslims</w:t>
      </w:r>
      <w:r w:rsidRPr="004C28AE">
        <w:rPr>
          <w:rFonts w:asciiTheme="majorBidi" w:eastAsia="Arial Unicode MS" w:hAnsiTheme="majorBidi" w:cstheme="majorBidi"/>
          <w:color w:val="000000"/>
          <w:shd w:val="clear" w:color="auto" w:fill="FFFFFF"/>
        </w:rPr>
        <w:t>. New York: Oxford, 2015</w:t>
      </w:r>
      <w:r>
        <w:t>, Chapter 10.</w:t>
      </w:r>
    </w:p>
    <w:p w14:paraId="438AE406" w14:textId="77777777" w:rsidR="00526710" w:rsidRDefault="00526710" w:rsidP="00526710"/>
    <w:p w14:paraId="425A8ACD" w14:textId="77777777" w:rsidR="00526710" w:rsidRDefault="00526710" w:rsidP="00526710">
      <w:r>
        <w:t>In what ways do rabbinic understandings of God’s word and revelation inform rabbinic interpretations of Jonah? (</w:t>
      </w:r>
      <w:proofErr w:type="gramStart"/>
      <w:r>
        <w:t>if</w:t>
      </w:r>
      <w:proofErr w:type="gramEnd"/>
      <w:r>
        <w:t xml:space="preserve"> rabbis see themselves as heirs to the prophets, how might their self-understanding get reflected in their readings of Jonah? Think especially about </w:t>
      </w:r>
      <w:proofErr w:type="spellStart"/>
      <w:r>
        <w:t>Zetterholm’s</w:t>
      </w:r>
      <w:proofErr w:type="spellEnd"/>
      <w:r>
        <w:t xml:space="preserve"> discussion of rabbinic authority on pp 30-32).</w:t>
      </w:r>
    </w:p>
    <w:p w14:paraId="3984595A" w14:textId="77777777" w:rsidR="00A66FE5" w:rsidRDefault="00A66FE5" w:rsidP="00A66FE5"/>
    <w:p w14:paraId="1C25CA0A" w14:textId="3BA1064B" w:rsidR="00526710" w:rsidRDefault="00526710" w:rsidP="00526710">
      <w:pPr>
        <w:rPr>
          <w:b/>
          <w:sz w:val="28"/>
        </w:rPr>
      </w:pPr>
      <w:r>
        <w:rPr>
          <w:b/>
          <w:sz w:val="28"/>
        </w:rPr>
        <w:t>Class 2</w:t>
      </w:r>
      <w:r w:rsidR="00A3059B">
        <w:rPr>
          <w:b/>
          <w:sz w:val="28"/>
        </w:rPr>
        <w:t>: April 7</w:t>
      </w:r>
    </w:p>
    <w:p w14:paraId="70C4AA3C" w14:textId="66DCE7A7" w:rsidR="00526710" w:rsidRPr="00976746" w:rsidRDefault="00526710" w:rsidP="00526710">
      <w:pPr>
        <w:rPr>
          <w:b/>
          <w:sz w:val="28"/>
        </w:rPr>
      </w:pPr>
      <w:r w:rsidRPr="00976746">
        <w:rPr>
          <w:b/>
          <w:sz w:val="28"/>
        </w:rPr>
        <w:t xml:space="preserve">Jonah 2 </w:t>
      </w:r>
      <w:r>
        <w:rPr>
          <w:b/>
          <w:sz w:val="28"/>
        </w:rPr>
        <w:t>in the NT and E</w:t>
      </w:r>
      <w:r w:rsidRPr="00976746">
        <w:rPr>
          <w:b/>
          <w:sz w:val="28"/>
        </w:rPr>
        <w:t>arly Christian</w:t>
      </w:r>
      <w:r>
        <w:rPr>
          <w:b/>
          <w:sz w:val="28"/>
        </w:rPr>
        <w:t xml:space="preserve"> Writings</w:t>
      </w:r>
      <w:r w:rsidR="007A385D">
        <w:rPr>
          <w:b/>
          <w:sz w:val="28"/>
        </w:rPr>
        <w:t xml:space="preserve"> and Art</w:t>
      </w:r>
    </w:p>
    <w:p w14:paraId="046BD7CA" w14:textId="384211E9" w:rsidR="00526710" w:rsidRDefault="00526710" w:rsidP="00526710"/>
    <w:p w14:paraId="59B5F3F4" w14:textId="3451BDEE" w:rsidR="00526710" w:rsidRDefault="00526710" w:rsidP="00526710">
      <w:r>
        <w:t>Primary Texts</w:t>
      </w:r>
    </w:p>
    <w:p w14:paraId="3EF02056" w14:textId="77777777" w:rsidR="00526710" w:rsidRDefault="00526710" w:rsidP="00526710"/>
    <w:p w14:paraId="3A6A15B4" w14:textId="729EF2B7" w:rsidR="00526710" w:rsidRDefault="00526710" w:rsidP="00D27DD1">
      <w:r>
        <w:t>Read Jonah in LXX. Read and annotate (with questions and observations) Jonah 2; Matt 12, 16 and Luke 11</w:t>
      </w:r>
    </w:p>
    <w:p w14:paraId="6B2EAE13" w14:textId="78D90297" w:rsidR="00F00C25" w:rsidRDefault="00F00C25" w:rsidP="00526710"/>
    <w:p w14:paraId="2CC82CCC" w14:textId="77777777" w:rsidR="00F00C25" w:rsidRPr="00D27DD1" w:rsidRDefault="00F00C25" w:rsidP="00F00C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D3B45"/>
          <w:sz w:val="24"/>
          <w:szCs w:val="24"/>
        </w:rPr>
      </w:pPr>
      <w:r w:rsidRPr="00D27DD1">
        <w:rPr>
          <w:rFonts w:ascii="Times New Roman" w:hAnsi="Times New Roman"/>
          <w:color w:val="2D3B45"/>
          <w:sz w:val="24"/>
          <w:szCs w:val="24"/>
        </w:rPr>
        <w:t>Read the primary texts:</w:t>
      </w:r>
    </w:p>
    <w:p w14:paraId="166B513F" w14:textId="77777777" w:rsidR="00F00C25" w:rsidRPr="00D27DD1" w:rsidRDefault="00F00C25" w:rsidP="00F00C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D3B45"/>
          <w:sz w:val="24"/>
          <w:szCs w:val="24"/>
        </w:rPr>
      </w:pPr>
      <w:r w:rsidRPr="00D27DD1">
        <w:rPr>
          <w:rFonts w:ascii="Times New Roman" w:hAnsi="Times New Roman"/>
          <w:color w:val="2D3B45"/>
          <w:sz w:val="24"/>
          <w:szCs w:val="24"/>
        </w:rPr>
        <w:t>Matt 12, 16; Luke 11</w:t>
      </w:r>
    </w:p>
    <w:p w14:paraId="2E18AE23" w14:textId="77777777" w:rsidR="00F00C25" w:rsidRPr="00D27DD1" w:rsidRDefault="00F00C25" w:rsidP="00F00C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D3B45"/>
          <w:sz w:val="24"/>
          <w:szCs w:val="24"/>
        </w:rPr>
      </w:pPr>
      <w:r w:rsidRPr="00D27DD1">
        <w:rPr>
          <w:rFonts w:ascii="Times New Roman" w:hAnsi="Times New Roman"/>
          <w:color w:val="2D3B45"/>
          <w:sz w:val="24"/>
          <w:szCs w:val="24"/>
        </w:rPr>
        <w:t>Excerpts from Origen, Irenaeus, Jerome, Augustine </w:t>
      </w:r>
    </w:p>
    <w:p w14:paraId="03DD3CCD" w14:textId="77777777" w:rsidR="00F00C25" w:rsidRPr="00D27DD1" w:rsidRDefault="00F00C25" w:rsidP="00F00C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D3B45"/>
          <w:sz w:val="24"/>
          <w:szCs w:val="24"/>
        </w:rPr>
      </w:pPr>
      <w:r w:rsidRPr="00D27DD1">
        <w:rPr>
          <w:rFonts w:ascii="Times New Roman" w:hAnsi="Times New Roman"/>
          <w:color w:val="2D3B45"/>
          <w:sz w:val="24"/>
          <w:szCs w:val="24"/>
        </w:rPr>
        <w:t>- Origen, </w:t>
      </w:r>
      <w:r w:rsidRPr="00D27DD1">
        <w:rPr>
          <w:rStyle w:val="Emphasis"/>
          <w:rFonts w:ascii="Times New Roman" w:hAnsi="Times New Roman"/>
          <w:color w:val="2D3B45"/>
          <w:sz w:val="24"/>
          <w:szCs w:val="24"/>
        </w:rPr>
        <w:t>Comm. Matt 16 (</w:t>
      </w:r>
      <w:hyperlink r:id="rId6" w:tgtFrame="_blank" w:history="1">
        <w:r w:rsidRPr="00D27DD1">
          <w:rPr>
            <w:rStyle w:val="Hyperlink"/>
            <w:rFonts w:ascii="Times New Roman" w:hAnsi="Times New Roman"/>
            <w:i/>
            <w:iCs/>
            <w:sz w:val="24"/>
            <w:szCs w:val="24"/>
          </w:rPr>
          <w:t>in Book 7</w:t>
        </w:r>
        <w:r w:rsidRPr="00D27DD1">
          <w:rPr>
            <w:rStyle w:val="screenreader-only"/>
            <w:rFonts w:ascii="Times New Roman" w:hAnsi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27DD1">
        <w:rPr>
          <w:rStyle w:val="Emphasis"/>
          <w:rFonts w:ascii="Times New Roman" w:hAnsi="Times New Roman"/>
          <w:color w:val="2D3B45"/>
          <w:sz w:val="24"/>
          <w:szCs w:val="24"/>
        </w:rPr>
        <w:t>)</w:t>
      </w:r>
      <w:r w:rsidRPr="00D27DD1">
        <w:rPr>
          <w:rFonts w:ascii="Times New Roman" w:hAnsi="Times New Roman"/>
          <w:color w:val="2D3B45"/>
          <w:sz w:val="24"/>
          <w:szCs w:val="24"/>
        </w:rPr>
        <w:t>; </w:t>
      </w:r>
      <w:hyperlink r:id="rId7" w:tgtFrame="_blank" w:history="1">
        <w:r w:rsidRPr="00D27DD1">
          <w:rPr>
            <w:rStyle w:val="Emphasis"/>
            <w:rFonts w:ascii="Times New Roman" w:hAnsi="Times New Roman"/>
            <w:color w:val="0000FF"/>
            <w:sz w:val="24"/>
            <w:szCs w:val="24"/>
            <w:u w:val="single"/>
          </w:rPr>
          <w:t xml:space="preserve">Against </w:t>
        </w:r>
        <w:proofErr w:type="spellStart"/>
        <w:r w:rsidRPr="00D27DD1">
          <w:rPr>
            <w:rStyle w:val="Emphasis"/>
            <w:rFonts w:ascii="Times New Roman" w:hAnsi="Times New Roman"/>
            <w:color w:val="0000FF"/>
            <w:sz w:val="24"/>
            <w:szCs w:val="24"/>
            <w:u w:val="single"/>
          </w:rPr>
          <w:t>Celsus</w:t>
        </w:r>
        <w:proofErr w:type="spellEnd"/>
        <w:r w:rsidRPr="00D27DD1">
          <w:rPr>
            <w:rStyle w:val="Emphasis"/>
            <w:rFonts w:ascii="Times New Roman" w:hAnsi="Times New Roman"/>
            <w:color w:val="0000FF"/>
            <w:sz w:val="24"/>
            <w:szCs w:val="24"/>
            <w:u w:val="single"/>
          </w:rPr>
          <w:t> </w:t>
        </w:r>
        <w:r w:rsidRPr="00D27DD1">
          <w:rPr>
            <w:rStyle w:val="screenreader-only"/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27DD1">
        <w:rPr>
          <w:rFonts w:ascii="Times New Roman" w:hAnsi="Times New Roman"/>
          <w:color w:val="2D3B45"/>
          <w:sz w:val="24"/>
          <w:szCs w:val="24"/>
        </w:rPr>
        <w:t>7.53, 57</w:t>
      </w:r>
    </w:p>
    <w:p w14:paraId="59722DE8" w14:textId="77777777" w:rsidR="00F00C25" w:rsidRPr="00D27DD1" w:rsidRDefault="00F00C25" w:rsidP="00F00C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D3B45"/>
          <w:sz w:val="24"/>
          <w:szCs w:val="24"/>
        </w:rPr>
      </w:pPr>
      <w:r w:rsidRPr="00D27DD1">
        <w:rPr>
          <w:rFonts w:ascii="Times New Roman" w:hAnsi="Times New Roman"/>
          <w:color w:val="2D3B45"/>
          <w:sz w:val="24"/>
          <w:szCs w:val="24"/>
        </w:rPr>
        <w:t>- Irenaeus, </w:t>
      </w:r>
      <w:r w:rsidRPr="00D27DD1">
        <w:rPr>
          <w:rStyle w:val="Emphasis"/>
          <w:rFonts w:ascii="Times New Roman" w:hAnsi="Times New Roman"/>
          <w:color w:val="2D3B45"/>
          <w:sz w:val="24"/>
          <w:szCs w:val="24"/>
        </w:rPr>
        <w:t>Against Heresies</w:t>
      </w:r>
      <w:r w:rsidRPr="00D27DD1">
        <w:rPr>
          <w:rFonts w:ascii="Times New Roman" w:hAnsi="Times New Roman"/>
          <w:color w:val="2D3B45"/>
          <w:sz w:val="24"/>
          <w:szCs w:val="24"/>
        </w:rPr>
        <w:t> </w:t>
      </w:r>
      <w:hyperlink r:id="rId8" w:tgtFrame="_blank" w:history="1">
        <w:r w:rsidRPr="00D27DD1">
          <w:rPr>
            <w:rStyle w:val="Hyperlink"/>
            <w:rFonts w:ascii="Times New Roman" w:hAnsi="Times New Roman"/>
            <w:sz w:val="24"/>
            <w:szCs w:val="24"/>
          </w:rPr>
          <w:t>3.20</w:t>
        </w:r>
        <w:r w:rsidRPr="00D27DD1">
          <w:rPr>
            <w:rStyle w:val="screenreader-only"/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27DD1">
        <w:rPr>
          <w:rFonts w:ascii="Times New Roman" w:hAnsi="Times New Roman"/>
          <w:color w:val="2D3B45"/>
          <w:sz w:val="24"/>
          <w:szCs w:val="24"/>
        </w:rPr>
        <w:t>; </w:t>
      </w:r>
      <w:hyperlink r:id="rId9" w:tgtFrame="_blank" w:history="1">
        <w:r w:rsidRPr="00D27DD1">
          <w:rPr>
            <w:rStyle w:val="Hyperlink"/>
            <w:rFonts w:ascii="Times New Roman" w:hAnsi="Times New Roman"/>
            <w:sz w:val="24"/>
            <w:szCs w:val="24"/>
          </w:rPr>
          <w:t>5.1; 5.5.2</w:t>
        </w:r>
        <w:r w:rsidRPr="00D27DD1">
          <w:rPr>
            <w:rStyle w:val="screenreader-only"/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27DD1">
        <w:rPr>
          <w:rFonts w:ascii="Times New Roman" w:hAnsi="Times New Roman"/>
          <w:color w:val="2D3B45"/>
          <w:sz w:val="24"/>
          <w:szCs w:val="24"/>
        </w:rPr>
        <w:t>; </w:t>
      </w:r>
      <w:hyperlink r:id="rId10" w:tgtFrame="_blank" w:history="1">
        <w:r w:rsidRPr="00D27DD1">
          <w:rPr>
            <w:rStyle w:val="Hyperlink"/>
            <w:rFonts w:ascii="Times New Roman" w:hAnsi="Times New Roman"/>
            <w:sz w:val="24"/>
            <w:szCs w:val="24"/>
          </w:rPr>
          <w:t>5:31</w:t>
        </w:r>
        <w:r w:rsidRPr="00D27DD1">
          <w:rPr>
            <w:rStyle w:val="screenreader-only"/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0C580848" w14:textId="77777777" w:rsidR="00F00C25" w:rsidRPr="00D27DD1" w:rsidRDefault="00F00C25" w:rsidP="00F00C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D3B45"/>
          <w:sz w:val="24"/>
          <w:szCs w:val="24"/>
        </w:rPr>
      </w:pPr>
      <w:r w:rsidRPr="00D27DD1">
        <w:rPr>
          <w:rFonts w:ascii="Times New Roman" w:hAnsi="Times New Roman"/>
          <w:color w:val="2D3B45"/>
          <w:sz w:val="24"/>
          <w:szCs w:val="24"/>
        </w:rPr>
        <w:t>- </w:t>
      </w:r>
      <w:hyperlink r:id="rId11" w:tgtFrame="_blank" w:history="1">
        <w:r w:rsidRPr="00D27DD1">
          <w:rPr>
            <w:rStyle w:val="Hyperlink"/>
            <w:rFonts w:ascii="Times New Roman" w:hAnsi="Times New Roman"/>
            <w:sz w:val="24"/>
            <w:szCs w:val="24"/>
          </w:rPr>
          <w:t>Augustine, </w:t>
        </w:r>
        <w:r w:rsidRPr="00D27DD1">
          <w:rPr>
            <w:rStyle w:val="Emphasis"/>
            <w:rFonts w:ascii="Times New Roman" w:hAnsi="Times New Roman"/>
            <w:color w:val="0000FF"/>
            <w:sz w:val="24"/>
            <w:szCs w:val="24"/>
            <w:u w:val="single"/>
          </w:rPr>
          <w:t>Letter 102</w:t>
        </w:r>
        <w:r w:rsidRPr="00D27DD1">
          <w:rPr>
            <w:rStyle w:val="screenreader-only"/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D27DD1">
        <w:rPr>
          <w:rFonts w:ascii="Times New Roman" w:hAnsi="Times New Roman"/>
          <w:color w:val="2D3B45"/>
          <w:sz w:val="24"/>
          <w:szCs w:val="24"/>
        </w:rPr>
        <w:t> (focus on Question VI, 30-38)</w:t>
      </w:r>
    </w:p>
    <w:p w14:paraId="28427452" w14:textId="77777777" w:rsidR="00F00C25" w:rsidRPr="00D27DD1" w:rsidRDefault="00F00C25" w:rsidP="00F00C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D3B45"/>
          <w:sz w:val="24"/>
          <w:szCs w:val="24"/>
        </w:rPr>
      </w:pPr>
      <w:r w:rsidRPr="00D27DD1">
        <w:rPr>
          <w:rFonts w:ascii="Times New Roman" w:hAnsi="Times New Roman"/>
          <w:color w:val="2D3B45"/>
          <w:sz w:val="24"/>
          <w:szCs w:val="24"/>
        </w:rPr>
        <w:t>- </w:t>
      </w:r>
      <w:hyperlink r:id="rId12" w:tgtFrame="_blank" w:history="1">
        <w:r w:rsidRPr="00D27DD1">
          <w:rPr>
            <w:rStyle w:val="Hyperlink"/>
            <w:rFonts w:ascii="Times New Roman" w:hAnsi="Times New Roman"/>
            <w:sz w:val="24"/>
            <w:szCs w:val="24"/>
          </w:rPr>
          <w:t>Jerome, </w:t>
        </w:r>
        <w:r w:rsidRPr="00D27DD1">
          <w:rPr>
            <w:rStyle w:val="Emphasis"/>
            <w:rFonts w:ascii="Times New Roman" w:hAnsi="Times New Roman"/>
            <w:color w:val="0000FF"/>
            <w:sz w:val="24"/>
            <w:szCs w:val="24"/>
            <w:u w:val="single"/>
          </w:rPr>
          <w:t>Comm</w:t>
        </w:r>
        <w:r w:rsidRPr="00D27DD1">
          <w:rPr>
            <w:rStyle w:val="Hyperlink"/>
            <w:rFonts w:ascii="Times New Roman" w:hAnsi="Times New Roman"/>
            <w:sz w:val="24"/>
            <w:szCs w:val="24"/>
          </w:rPr>
          <w:t>. Jon 2</w:t>
        </w:r>
      </w:hyperlink>
    </w:p>
    <w:p w14:paraId="2F0B4232" w14:textId="77777777" w:rsidR="00D27DD1" w:rsidRDefault="00D27DD1" w:rsidP="00D27DD1">
      <w:r>
        <w:rPr>
          <w:i/>
        </w:rPr>
        <w:t xml:space="preserve">Letter of 1 </w:t>
      </w:r>
      <w:r w:rsidRPr="0074564C">
        <w:rPr>
          <w:i/>
        </w:rPr>
        <w:t>Clement</w:t>
      </w:r>
    </w:p>
    <w:p w14:paraId="12CF5BF5" w14:textId="77777777" w:rsidR="00526710" w:rsidRDefault="00526710" w:rsidP="00526710"/>
    <w:p w14:paraId="5F3B470C" w14:textId="77777777" w:rsidR="007A385D" w:rsidRDefault="007A385D" w:rsidP="007A385D">
      <w:r>
        <w:t xml:space="preserve">Jensen, Robin Margaret. </w:t>
      </w:r>
      <w:r>
        <w:rPr>
          <w:i/>
        </w:rPr>
        <w:t>Understanding Early Christian Art</w:t>
      </w:r>
      <w:r>
        <w:t xml:space="preserve">. London: Routledge, 2000. 8-31. </w:t>
      </w:r>
    </w:p>
    <w:p w14:paraId="3CC55C50" w14:textId="77777777" w:rsidR="00526710" w:rsidRPr="004E51BF" w:rsidRDefault="00526710" w:rsidP="00526710"/>
    <w:p w14:paraId="7A7335F0" w14:textId="0021800A" w:rsidR="00526710" w:rsidRDefault="00526710" w:rsidP="00526710">
      <w:r w:rsidRPr="004E51BF">
        <w:t xml:space="preserve">Gregg, Chapter 11 </w:t>
      </w:r>
    </w:p>
    <w:p w14:paraId="7BE7E7A7" w14:textId="77777777" w:rsidR="00263211" w:rsidRPr="004E51BF" w:rsidRDefault="00263211" w:rsidP="00526710"/>
    <w:p w14:paraId="3EBBEAC4" w14:textId="5B9F6A50" w:rsidR="00A66FE5" w:rsidRDefault="00263211">
      <w:pPr>
        <w:rPr>
          <w:color w:val="222222"/>
          <w:shd w:val="clear" w:color="auto" w:fill="FFFFFF"/>
        </w:rPr>
      </w:pPr>
      <w:r w:rsidRPr="004E51BF">
        <w:rPr>
          <w:color w:val="222222"/>
          <w:shd w:val="clear" w:color="auto" w:fill="FFFFFF"/>
        </w:rPr>
        <w:t>Adam, A. K. M. "The Sign of Jonah: A Fish-Eye View." </w:t>
      </w:r>
      <w:r w:rsidRPr="004E51BF">
        <w:rPr>
          <w:i/>
          <w:iCs/>
          <w:color w:val="222222"/>
          <w:shd w:val="clear" w:color="auto" w:fill="FFFFFF"/>
        </w:rPr>
        <w:t>Semeia</w:t>
      </w:r>
      <w:r w:rsidRPr="004E51BF">
        <w:rPr>
          <w:color w:val="222222"/>
          <w:shd w:val="clear" w:color="auto" w:fill="FFFFFF"/>
        </w:rPr>
        <w:t> 51 (1990) 177-91.</w:t>
      </w:r>
    </w:p>
    <w:p w14:paraId="0DBE56CF" w14:textId="5A14EB36" w:rsidR="007A385D" w:rsidRDefault="007A385D">
      <w:pPr>
        <w:rPr>
          <w:color w:val="222222"/>
          <w:shd w:val="clear" w:color="auto" w:fill="FFFFFF"/>
        </w:rPr>
      </w:pPr>
    </w:p>
    <w:p w14:paraId="0E65AA70" w14:textId="00978F96" w:rsidR="007A385D" w:rsidRDefault="007A385D" w:rsidP="007A385D">
      <w:pPr>
        <w:rPr>
          <w:b/>
          <w:sz w:val="28"/>
        </w:rPr>
      </w:pPr>
      <w:r>
        <w:rPr>
          <w:b/>
          <w:sz w:val="28"/>
        </w:rPr>
        <w:t>Class 3</w:t>
      </w:r>
      <w:r w:rsidR="00A3059B">
        <w:rPr>
          <w:b/>
          <w:sz w:val="28"/>
        </w:rPr>
        <w:t>: April 14</w:t>
      </w:r>
    </w:p>
    <w:p w14:paraId="1D16F665" w14:textId="14FF1361" w:rsidR="002772D8" w:rsidRDefault="002772D8" w:rsidP="002772D8">
      <w:pPr>
        <w:rPr>
          <w:b/>
          <w:sz w:val="28"/>
        </w:rPr>
      </w:pPr>
      <w:r>
        <w:rPr>
          <w:b/>
          <w:sz w:val="28"/>
        </w:rPr>
        <w:t>Jonah in Jewish Liturgy and Midrashim</w:t>
      </w:r>
    </w:p>
    <w:p w14:paraId="08B0957C" w14:textId="77777777" w:rsidR="007A385D" w:rsidRDefault="007A385D" w:rsidP="007A385D"/>
    <w:p w14:paraId="796362A0" w14:textId="77777777" w:rsidR="007A385D" w:rsidRPr="00693A55" w:rsidRDefault="007A385D" w:rsidP="007A385D">
      <w:pPr>
        <w:pStyle w:val="Heading1"/>
        <w:spacing w:before="2" w:after="2"/>
        <w:rPr>
          <w:b w:val="0"/>
          <w:sz w:val="24"/>
          <w:szCs w:val="24"/>
        </w:rPr>
      </w:pPr>
      <w:r w:rsidRPr="00693A55">
        <w:rPr>
          <w:b w:val="0"/>
          <w:sz w:val="24"/>
        </w:rPr>
        <w:t>Read and annotate (with questions and observations) Jonah 3</w:t>
      </w:r>
    </w:p>
    <w:p w14:paraId="74CB973F" w14:textId="77777777" w:rsidR="007A385D" w:rsidRDefault="007A385D" w:rsidP="007A385D">
      <w:pPr>
        <w:pStyle w:val="Heading1"/>
        <w:spacing w:before="2" w:after="2"/>
        <w:rPr>
          <w:b w:val="0"/>
          <w:sz w:val="24"/>
          <w:szCs w:val="24"/>
        </w:rPr>
      </w:pPr>
    </w:p>
    <w:p w14:paraId="3321E0A4" w14:textId="516C1FB2" w:rsidR="000269DE" w:rsidRPr="00A3059B" w:rsidRDefault="007A385D" w:rsidP="00A3059B">
      <w:pPr>
        <w:pStyle w:val="Heading1"/>
        <w:spacing w:before="2" w:after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Targum Jonah. Translation by </w:t>
      </w:r>
      <w:proofErr w:type="spellStart"/>
      <w:r>
        <w:rPr>
          <w:b w:val="0"/>
          <w:sz w:val="24"/>
          <w:szCs w:val="24"/>
        </w:rPr>
        <w:t>Cathcart</w:t>
      </w:r>
      <w:proofErr w:type="spellEnd"/>
      <w:r>
        <w:rPr>
          <w:b w:val="0"/>
          <w:sz w:val="24"/>
          <w:szCs w:val="24"/>
        </w:rPr>
        <w:t xml:space="preserve"> and Gordon (105-109)</w:t>
      </w:r>
    </w:p>
    <w:p w14:paraId="714D7B8A" w14:textId="77777777" w:rsidR="000269DE" w:rsidRDefault="000269DE" w:rsidP="000269D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DE07E80" w14:textId="0C7339DB" w:rsidR="000269DE" w:rsidRDefault="000269DE" w:rsidP="000269DE">
      <w:pPr>
        <w:widowControl w:val="0"/>
        <w:autoSpaceDE w:val="0"/>
        <w:autoSpaceDN w:val="0"/>
        <w:adjustRightInd w:val="0"/>
        <w:rPr>
          <w:iCs/>
        </w:rPr>
      </w:pPr>
      <w:proofErr w:type="spellStart"/>
      <w:r w:rsidRPr="00B16D11">
        <w:rPr>
          <w:i/>
        </w:rPr>
        <w:t>Pirke</w:t>
      </w:r>
      <w:proofErr w:type="spellEnd"/>
      <w:r w:rsidRPr="00B16D11">
        <w:rPr>
          <w:i/>
        </w:rPr>
        <w:t xml:space="preserve"> De Rabbi Eliezer </w:t>
      </w:r>
      <w:r w:rsidRPr="00C72CD6">
        <w:rPr>
          <w:iCs/>
        </w:rPr>
        <w:t>10</w:t>
      </w:r>
      <w:r>
        <w:rPr>
          <w:i/>
        </w:rPr>
        <w:t xml:space="preserve"> </w:t>
      </w:r>
      <w:r w:rsidRPr="00C72CD6">
        <w:rPr>
          <w:iCs/>
        </w:rPr>
        <w:t xml:space="preserve">(translation </w:t>
      </w:r>
      <w:r w:rsidR="007F05EC">
        <w:rPr>
          <w:iCs/>
        </w:rPr>
        <w:t>from</w:t>
      </w:r>
      <w:r w:rsidRPr="00C72CD6">
        <w:rPr>
          <w:iCs/>
        </w:rPr>
        <w:t xml:space="preserve"> Adelman)</w:t>
      </w:r>
    </w:p>
    <w:p w14:paraId="33CDC011" w14:textId="77777777" w:rsidR="007F05EC" w:rsidRPr="00B16D11" w:rsidRDefault="007F05EC" w:rsidP="000269DE">
      <w:pPr>
        <w:widowControl w:val="0"/>
        <w:autoSpaceDE w:val="0"/>
        <w:autoSpaceDN w:val="0"/>
        <w:adjustRightInd w:val="0"/>
        <w:rPr>
          <w:i/>
        </w:rPr>
      </w:pPr>
    </w:p>
    <w:p w14:paraId="6D3131E9" w14:textId="1B87E0C4" w:rsidR="002772D8" w:rsidRDefault="000269DE" w:rsidP="00F365FC">
      <w:r w:rsidRPr="007F05EC">
        <w:rPr>
          <w:rFonts w:eastAsia="Arial Unicode MS"/>
          <w:strike/>
          <w:color w:val="000000"/>
          <w:shd w:val="clear" w:color="auto" w:fill="FFFFFF"/>
        </w:rPr>
        <w:t>Bruns, G. L. “The Hermeneutics of Midrash.” In </w:t>
      </w:r>
      <w:r w:rsidRPr="007F05EC">
        <w:rPr>
          <w:rFonts w:eastAsia="Arial Unicode MS"/>
          <w:i/>
          <w:iCs/>
          <w:strike/>
          <w:color w:val="000000"/>
          <w:shd w:val="clear" w:color="auto" w:fill="FFFFFF"/>
        </w:rPr>
        <w:t>Hermeneutics, Ancient and Modern</w:t>
      </w:r>
      <w:r w:rsidRPr="007F05EC">
        <w:rPr>
          <w:rFonts w:eastAsia="Arial Unicode MS"/>
          <w:strike/>
          <w:color w:val="000000"/>
          <w:shd w:val="clear" w:color="auto" w:fill="FFFFFF"/>
        </w:rPr>
        <w:t>. New Haven: Yale University Press, 1992. 104-123.</w:t>
      </w:r>
      <w:r w:rsidR="007F05EC">
        <w:rPr>
          <w:rFonts w:eastAsia="Arial Unicode MS"/>
          <w:color w:val="000000"/>
          <w:shd w:val="clear" w:color="auto" w:fill="FFFFFF"/>
        </w:rPr>
        <w:t xml:space="preserve"> </w:t>
      </w:r>
      <w:r w:rsidR="007F05EC" w:rsidRPr="00F365FC">
        <w:rPr>
          <w:color w:val="2D3B45"/>
          <w:shd w:val="clear" w:color="auto" w:fill="FFFFFF"/>
        </w:rPr>
        <w:t>Steven Daniel Sacks, </w:t>
      </w:r>
      <w:hyperlink r:id="rId13" w:tooltip="sacks Midrash_and_Multiplicity_Pirke_De_Rabbi_Eliezer_and_the_Renewal_of_Rabbinic_Interpretive_Culture.pdf" w:history="1">
        <w:r w:rsidR="007F05EC" w:rsidRPr="00F365FC">
          <w:rPr>
            <w:i/>
            <w:iCs/>
            <w:color w:val="0000FF"/>
            <w:u w:val="single"/>
            <w:shd w:val="clear" w:color="auto" w:fill="FFFFFF"/>
          </w:rPr>
          <w:t>Midrash and Multiplicity</w:t>
        </w:r>
      </w:hyperlink>
      <w:r w:rsidR="007F05EC" w:rsidRPr="00F365FC">
        <w:rPr>
          <w:i/>
          <w:iCs/>
          <w:color w:val="2D3B45"/>
          <w:shd w:val="clear" w:color="auto" w:fill="FFFFFF"/>
        </w:rPr>
        <w:t xml:space="preserve"> </w:t>
      </w:r>
      <w:proofErr w:type="spellStart"/>
      <w:r w:rsidR="007F05EC" w:rsidRPr="00F365FC">
        <w:rPr>
          <w:i/>
          <w:iCs/>
          <w:color w:val="2D3B45"/>
          <w:shd w:val="clear" w:color="auto" w:fill="FFFFFF"/>
        </w:rPr>
        <w:t>Pirke</w:t>
      </w:r>
      <w:proofErr w:type="spellEnd"/>
      <w:r w:rsidR="007F05EC" w:rsidRPr="00F365FC">
        <w:rPr>
          <w:i/>
          <w:iCs/>
          <w:color w:val="2D3B45"/>
          <w:shd w:val="clear" w:color="auto" w:fill="FFFFFF"/>
        </w:rPr>
        <w:t xml:space="preserve"> de-Rabbi Eliezer and the Renewal of Rabbinic Interpretive Culture </w:t>
      </w:r>
      <w:r w:rsidR="007F05EC" w:rsidRPr="00F365FC">
        <w:rPr>
          <w:color w:val="2D3B45"/>
          <w:shd w:val="clear" w:color="auto" w:fill="FFFFFF"/>
        </w:rPr>
        <w:t>(de Gruyter 2009), chap 1</w:t>
      </w:r>
      <w:r w:rsidR="00F365FC">
        <w:rPr>
          <w:color w:val="2D3B45"/>
          <w:shd w:val="clear" w:color="auto" w:fill="FFFFFF"/>
        </w:rPr>
        <w:t>.</w:t>
      </w:r>
    </w:p>
    <w:p w14:paraId="73DDB579" w14:textId="77777777" w:rsidR="00F365FC" w:rsidRPr="00F365FC" w:rsidRDefault="00F365FC" w:rsidP="00F365FC"/>
    <w:p w14:paraId="4C0AB2FD" w14:textId="77777777" w:rsidR="000269DE" w:rsidRDefault="000269DE" w:rsidP="000269DE">
      <w:pPr>
        <w:pStyle w:val="p1"/>
        <w:rPr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Ego, </w:t>
      </w:r>
      <w:proofErr w:type="spellStart"/>
      <w:r>
        <w:rPr>
          <w:rStyle w:val="apple-converted-space"/>
          <w:sz w:val="24"/>
          <w:szCs w:val="24"/>
        </w:rPr>
        <w:t>Beate</w:t>
      </w:r>
      <w:proofErr w:type="spellEnd"/>
      <w:r>
        <w:rPr>
          <w:rStyle w:val="apple-converted-space"/>
          <w:sz w:val="24"/>
          <w:szCs w:val="24"/>
        </w:rPr>
        <w:t xml:space="preserve">. </w:t>
      </w:r>
      <w:r w:rsidRPr="0034263D">
        <w:rPr>
          <w:sz w:val="24"/>
          <w:szCs w:val="24"/>
        </w:rPr>
        <w:t xml:space="preserve">"The Repentance of Nineveh in the Story of Jonah and Nahum’s Prophecy of the City’s Destruction-A Coherent Reading of the Book of the Twelve as Reflected in the </w:t>
      </w:r>
      <w:proofErr w:type="spellStart"/>
      <w:r w:rsidRPr="0034263D">
        <w:rPr>
          <w:sz w:val="24"/>
          <w:szCs w:val="24"/>
        </w:rPr>
        <w:t>Aggada</w:t>
      </w:r>
      <w:proofErr w:type="spellEnd"/>
      <w:r w:rsidRPr="0034263D">
        <w:rPr>
          <w:sz w:val="24"/>
          <w:szCs w:val="24"/>
        </w:rPr>
        <w:t xml:space="preserve">." In </w:t>
      </w:r>
      <w:r w:rsidRPr="0034263D">
        <w:rPr>
          <w:i/>
          <w:sz w:val="24"/>
          <w:szCs w:val="24"/>
        </w:rPr>
        <w:t>Thematic Threads in the Book of the Twelve,</w:t>
      </w:r>
      <w:r w:rsidRPr="0034263D">
        <w:rPr>
          <w:sz w:val="24"/>
          <w:szCs w:val="24"/>
        </w:rPr>
        <w:t xml:space="preserve"> ed. P. Redditt and A. </w:t>
      </w:r>
      <w:proofErr w:type="spellStart"/>
      <w:r w:rsidRPr="0034263D">
        <w:rPr>
          <w:sz w:val="24"/>
          <w:szCs w:val="24"/>
        </w:rPr>
        <w:t>Schart</w:t>
      </w:r>
      <w:proofErr w:type="spellEnd"/>
      <w:r w:rsidRPr="0034263D">
        <w:rPr>
          <w:sz w:val="24"/>
          <w:szCs w:val="24"/>
        </w:rPr>
        <w:t>. Walter de Gruyter, 2003, 155-164.</w:t>
      </w:r>
    </w:p>
    <w:p w14:paraId="51817DC8" w14:textId="77777777" w:rsidR="000269DE" w:rsidRDefault="000269DE" w:rsidP="000269DE"/>
    <w:p w14:paraId="6FC354BE" w14:textId="7D77E4A7" w:rsidR="000269DE" w:rsidRDefault="000269DE" w:rsidP="000269DE">
      <w:pPr>
        <w:rPr>
          <w:rFonts w:asciiTheme="majorBidi" w:hAnsiTheme="majorBidi" w:cstheme="majorBidi"/>
          <w:color w:val="000000" w:themeColor="text1"/>
          <w:shd w:val="clear" w:color="auto" w:fill="FFFFFF"/>
          <w:lang w:bidi="he-IL"/>
        </w:rPr>
      </w:pPr>
      <w:proofErr w:type="spellStart"/>
      <w:r>
        <w:t>Tigay</w:t>
      </w:r>
      <w:proofErr w:type="spellEnd"/>
      <w:r>
        <w:t>, Jeffrey. “The Book of Jonah and the Days of Awe.”</w:t>
      </w:r>
      <w:r w:rsidRPr="008627D2">
        <w:rPr>
          <w:rFonts w:asciiTheme="majorBidi" w:hAnsiTheme="majorBidi" w:cstheme="majorBidi"/>
          <w:color w:val="000000" w:themeColor="text1"/>
        </w:rPr>
        <w:t xml:space="preserve"> </w:t>
      </w:r>
      <w:r w:rsidRPr="008627D2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bidi="he-IL"/>
        </w:rPr>
        <w:t>Conservative Judaism</w:t>
      </w:r>
      <w:r w:rsidRPr="008627D2">
        <w:rPr>
          <w:rFonts w:asciiTheme="majorBidi" w:hAnsiTheme="majorBidi" w:cstheme="majorBidi"/>
          <w:color w:val="000000" w:themeColor="text1"/>
          <w:shd w:val="clear" w:color="auto" w:fill="FFFFFF"/>
          <w:lang w:bidi="he-IL"/>
        </w:rPr>
        <w:t xml:space="preserve"> 38 (Winter 1985–86) 67–76.</w:t>
      </w:r>
    </w:p>
    <w:p w14:paraId="7B8BCF8E" w14:textId="3DA66236" w:rsidR="002772D8" w:rsidRDefault="002772D8" w:rsidP="000269DE">
      <w:pPr>
        <w:rPr>
          <w:rFonts w:asciiTheme="majorBidi" w:hAnsiTheme="majorBidi" w:cstheme="majorBidi"/>
          <w:color w:val="000000" w:themeColor="text1"/>
          <w:shd w:val="clear" w:color="auto" w:fill="FFFFFF"/>
          <w:lang w:bidi="he-IL"/>
        </w:rPr>
      </w:pPr>
    </w:p>
    <w:p w14:paraId="6AB34B35" w14:textId="1391638F" w:rsidR="002772D8" w:rsidRPr="00B16D11" w:rsidRDefault="002772D8" w:rsidP="002772D8">
      <w:pPr>
        <w:widowControl w:val="0"/>
        <w:autoSpaceDE w:val="0"/>
        <w:autoSpaceDN w:val="0"/>
        <w:adjustRightInd w:val="0"/>
      </w:pPr>
      <w:r>
        <w:t xml:space="preserve">Do your best to read some of: </w:t>
      </w:r>
      <w:r w:rsidRPr="00B16D11">
        <w:t xml:space="preserve">Adelman, R. </w:t>
      </w:r>
      <w:r w:rsidRPr="00B16D11">
        <w:rPr>
          <w:i/>
        </w:rPr>
        <w:t>Return of the Repressed:</w:t>
      </w:r>
      <w:r w:rsidRPr="00B16D11">
        <w:t xml:space="preserve"> </w:t>
      </w:r>
      <w:proofErr w:type="spellStart"/>
      <w:r w:rsidRPr="00B16D11">
        <w:rPr>
          <w:i/>
        </w:rPr>
        <w:t>Pirqe</w:t>
      </w:r>
      <w:proofErr w:type="spellEnd"/>
      <w:r w:rsidRPr="00B16D11">
        <w:rPr>
          <w:i/>
        </w:rPr>
        <w:t xml:space="preserve"> De-Rabbi Eliezer and the Pseudepigrapha</w:t>
      </w:r>
      <w:r w:rsidRPr="00B16D11">
        <w:t>. Leiden: Brill, 2009.</w:t>
      </w:r>
      <w:r>
        <w:t xml:space="preserve"> 3-41, 219-268 (Ch 11)</w:t>
      </w:r>
    </w:p>
    <w:p w14:paraId="5AA82E83" w14:textId="3396FD3A" w:rsidR="007A385D" w:rsidRDefault="007A385D" w:rsidP="007A385D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427D6BD1" w14:textId="77777777" w:rsidR="000269DE" w:rsidRDefault="000269DE" w:rsidP="007A385D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4094B08A" w14:textId="04ABC0CC" w:rsidR="007A385D" w:rsidRDefault="007A385D" w:rsidP="007A385D">
      <w:pPr>
        <w:rPr>
          <w:b/>
          <w:sz w:val="28"/>
        </w:rPr>
      </w:pPr>
      <w:r>
        <w:rPr>
          <w:b/>
          <w:sz w:val="28"/>
        </w:rPr>
        <w:t>Class 4</w:t>
      </w:r>
      <w:r w:rsidR="00A3059B">
        <w:rPr>
          <w:b/>
          <w:sz w:val="28"/>
        </w:rPr>
        <w:t>: April 21</w:t>
      </w:r>
    </w:p>
    <w:p w14:paraId="23456B89" w14:textId="32B10136" w:rsidR="007A385D" w:rsidRPr="000269DE" w:rsidRDefault="007A385D" w:rsidP="007A385D">
      <w:pPr>
        <w:rPr>
          <w:rFonts w:ascii="Times" w:eastAsiaTheme="minorHAnsi" w:hAnsi="Times" w:cstheme="minorBidi"/>
          <w:b/>
          <w:sz w:val="28"/>
          <w:szCs w:val="20"/>
        </w:rPr>
      </w:pPr>
      <w:r w:rsidRPr="005343ED">
        <w:rPr>
          <w:b/>
          <w:sz w:val="28"/>
        </w:rPr>
        <w:t xml:space="preserve">Jonah 4 and </w:t>
      </w:r>
      <w:r w:rsidR="000269DE" w:rsidRPr="008B4067">
        <w:rPr>
          <w:rFonts w:ascii="Times" w:eastAsiaTheme="minorHAnsi" w:hAnsi="Times" w:cstheme="minorBidi"/>
          <w:b/>
          <w:sz w:val="28"/>
          <w:szCs w:val="20"/>
        </w:rPr>
        <w:t>Islam</w:t>
      </w:r>
      <w:r w:rsidR="000269DE">
        <w:rPr>
          <w:rFonts w:ascii="Times" w:eastAsiaTheme="minorHAnsi" w:hAnsi="Times" w:cstheme="minorBidi"/>
          <w:b/>
          <w:sz w:val="28"/>
          <w:szCs w:val="20"/>
        </w:rPr>
        <w:t xml:space="preserve">’s </w:t>
      </w:r>
      <w:proofErr w:type="spellStart"/>
      <w:r w:rsidR="000269DE">
        <w:rPr>
          <w:rFonts w:ascii="Times" w:eastAsiaTheme="minorHAnsi" w:hAnsi="Times" w:cstheme="minorBidi"/>
          <w:b/>
          <w:sz w:val="28"/>
          <w:szCs w:val="20"/>
        </w:rPr>
        <w:t>Yunus</w:t>
      </w:r>
      <w:proofErr w:type="spellEnd"/>
    </w:p>
    <w:p w14:paraId="393B3299" w14:textId="77777777" w:rsidR="007A385D" w:rsidRDefault="007A385D" w:rsidP="007A385D"/>
    <w:p w14:paraId="2F10EA87" w14:textId="77777777" w:rsidR="007A385D" w:rsidRDefault="007A385D" w:rsidP="007A385D">
      <w:pPr>
        <w:pStyle w:val="Heading1"/>
        <w:spacing w:before="2" w:after="2"/>
        <w:rPr>
          <w:b w:val="0"/>
          <w:sz w:val="24"/>
        </w:rPr>
      </w:pPr>
      <w:r w:rsidRPr="00693A55">
        <w:rPr>
          <w:b w:val="0"/>
          <w:sz w:val="24"/>
        </w:rPr>
        <w:t xml:space="preserve">Read and annotate (with questions and observations) Jonah </w:t>
      </w:r>
      <w:r>
        <w:rPr>
          <w:b w:val="0"/>
          <w:sz w:val="24"/>
        </w:rPr>
        <w:t>4</w:t>
      </w:r>
    </w:p>
    <w:p w14:paraId="370219CE" w14:textId="77777777" w:rsidR="007A385D" w:rsidRDefault="007A385D" w:rsidP="007A385D">
      <w:pPr>
        <w:pStyle w:val="Heading1"/>
        <w:spacing w:before="2" w:after="2"/>
        <w:rPr>
          <w:b w:val="0"/>
          <w:sz w:val="24"/>
        </w:rPr>
      </w:pPr>
    </w:p>
    <w:p w14:paraId="73676C89" w14:textId="55A82AE3" w:rsidR="007A385D" w:rsidRPr="000269DE" w:rsidRDefault="007A385D" w:rsidP="000269DE">
      <w:pPr>
        <w:spacing w:after="200"/>
        <w:rPr>
          <w:rFonts w:ascii="Times" w:eastAsiaTheme="minorHAnsi" w:hAnsi="Times" w:cstheme="minorBidi"/>
          <w:szCs w:val="20"/>
        </w:rPr>
      </w:pPr>
      <w:r w:rsidRPr="00EC6FE3">
        <w:rPr>
          <w:rFonts w:ascii="Times" w:eastAsiaTheme="minorHAnsi" w:hAnsi="Times" w:cstheme="minorBidi"/>
          <w:szCs w:val="20"/>
        </w:rPr>
        <w:t xml:space="preserve">Guillaume, Philippe. "Rhetorical Reading Redundant: A Response to Ehud Ben </w:t>
      </w:r>
      <w:proofErr w:type="spellStart"/>
      <w:r w:rsidRPr="00EC6FE3">
        <w:rPr>
          <w:rFonts w:ascii="Times" w:eastAsiaTheme="minorHAnsi" w:hAnsi="Times" w:cstheme="minorBidi"/>
          <w:szCs w:val="20"/>
        </w:rPr>
        <w:t>Zvi</w:t>
      </w:r>
      <w:proofErr w:type="spellEnd"/>
      <w:r w:rsidRPr="00EC6FE3">
        <w:rPr>
          <w:rFonts w:ascii="Times" w:eastAsiaTheme="minorHAnsi" w:hAnsi="Times" w:cstheme="minorBidi"/>
          <w:szCs w:val="20"/>
        </w:rPr>
        <w:t xml:space="preserve">." </w:t>
      </w:r>
      <w:r w:rsidRPr="00EC6FE3">
        <w:rPr>
          <w:rFonts w:ascii="Times" w:eastAsiaTheme="minorHAnsi" w:hAnsi="Times" w:cstheme="minorBidi"/>
          <w:i/>
          <w:szCs w:val="20"/>
        </w:rPr>
        <w:t>Journal of Hebrew Scriptures</w:t>
      </w:r>
      <w:r w:rsidRPr="00EC6FE3">
        <w:rPr>
          <w:rFonts w:ascii="Times" w:eastAsiaTheme="minorHAnsi" w:hAnsi="Times" w:cstheme="minorBidi"/>
          <w:szCs w:val="20"/>
        </w:rPr>
        <w:t xml:space="preserve"> 9 (2009).</w:t>
      </w:r>
    </w:p>
    <w:p w14:paraId="6C21DC72" w14:textId="77777777" w:rsidR="000269DE" w:rsidRPr="00002E64" w:rsidRDefault="000269DE" w:rsidP="000269DE">
      <w:pPr>
        <w:pStyle w:val="NormalWeb"/>
        <w:spacing w:before="2" w:after="2"/>
        <w:rPr>
          <w:rFonts w:asciiTheme="majorBidi" w:hAnsiTheme="majorBidi" w:cstheme="majorBidi"/>
          <w:sz w:val="24"/>
        </w:rPr>
      </w:pPr>
      <w:r w:rsidRPr="00002E64">
        <w:rPr>
          <w:rFonts w:asciiTheme="majorBidi" w:hAnsiTheme="majorBidi" w:cstheme="majorBidi"/>
          <w:sz w:val="24"/>
          <w:szCs w:val="24"/>
        </w:rPr>
        <w:t xml:space="preserve">Qur’an. </w:t>
      </w:r>
      <w:r w:rsidRPr="00002E64">
        <w:rPr>
          <w:rFonts w:asciiTheme="majorBidi" w:hAnsiTheme="majorBidi" w:cstheme="majorBidi"/>
          <w:sz w:val="24"/>
        </w:rPr>
        <w:t>Suras 10, 21, 37, 68</w:t>
      </w:r>
    </w:p>
    <w:p w14:paraId="6A12ED89" w14:textId="77777777" w:rsidR="000269DE" w:rsidRPr="00002E64" w:rsidRDefault="000269DE" w:rsidP="000269DE">
      <w:pPr>
        <w:pStyle w:val="NormalWeb"/>
        <w:spacing w:before="2" w:after="2"/>
        <w:rPr>
          <w:rFonts w:asciiTheme="majorBidi" w:hAnsiTheme="majorBidi" w:cstheme="majorBidi"/>
          <w:sz w:val="24"/>
        </w:rPr>
      </w:pPr>
    </w:p>
    <w:p w14:paraId="732F7ECD" w14:textId="4020FB88" w:rsidR="000269DE" w:rsidRPr="00002E64" w:rsidRDefault="000269DE" w:rsidP="000269DE">
      <w:pPr>
        <w:pStyle w:val="NormalWeb"/>
        <w:spacing w:before="2" w:after="2"/>
        <w:rPr>
          <w:rFonts w:asciiTheme="majorBidi" w:hAnsiTheme="majorBidi" w:cstheme="majorBidi"/>
          <w:sz w:val="24"/>
        </w:rPr>
      </w:pPr>
      <w:r w:rsidRPr="00002E64">
        <w:rPr>
          <w:rFonts w:asciiTheme="majorBidi" w:hAnsiTheme="majorBidi" w:cstheme="majorBidi"/>
          <w:sz w:val="24"/>
        </w:rPr>
        <w:t xml:space="preserve">Gregg, Chapter 12 (Islam’s </w:t>
      </w:r>
      <w:proofErr w:type="spellStart"/>
      <w:r w:rsidRPr="00002E64">
        <w:rPr>
          <w:rFonts w:asciiTheme="majorBidi" w:hAnsiTheme="majorBidi" w:cstheme="majorBidi"/>
          <w:sz w:val="24"/>
        </w:rPr>
        <w:t>Yunus</w:t>
      </w:r>
      <w:proofErr w:type="spellEnd"/>
      <w:r w:rsidRPr="00002E64">
        <w:rPr>
          <w:rFonts w:asciiTheme="majorBidi" w:hAnsiTheme="majorBidi" w:cstheme="majorBidi"/>
          <w:sz w:val="24"/>
        </w:rPr>
        <w:t>)</w:t>
      </w:r>
    </w:p>
    <w:p w14:paraId="00207D1B" w14:textId="77777777" w:rsidR="000269DE" w:rsidRPr="00002E64" w:rsidRDefault="000269DE" w:rsidP="000269DE">
      <w:pPr>
        <w:pStyle w:val="NormalWeb"/>
        <w:spacing w:before="2" w:after="2"/>
        <w:rPr>
          <w:rFonts w:asciiTheme="majorBidi" w:hAnsiTheme="majorBidi" w:cstheme="majorBidi"/>
          <w:sz w:val="24"/>
        </w:rPr>
      </w:pPr>
    </w:p>
    <w:p w14:paraId="796C2762" w14:textId="77777777" w:rsidR="000269DE" w:rsidRDefault="000269DE" w:rsidP="000269DE">
      <w:pPr>
        <w:pStyle w:val="NormalWeb"/>
        <w:spacing w:before="2" w:after="2"/>
        <w:rPr>
          <w:rFonts w:asciiTheme="majorBidi" w:hAnsiTheme="majorBidi" w:cstheme="majorBidi"/>
          <w:sz w:val="24"/>
        </w:rPr>
      </w:pPr>
      <w:r w:rsidRPr="006D7A8C">
        <w:rPr>
          <w:rFonts w:asciiTheme="majorBidi" w:hAnsiTheme="majorBidi" w:cstheme="majorBidi"/>
          <w:sz w:val="24"/>
        </w:rPr>
        <w:t xml:space="preserve">Johns, A. H. "Jonah in the Qur'an: An Essay on Thematic Counterpoint." </w:t>
      </w:r>
      <w:r w:rsidRPr="006D7A8C">
        <w:rPr>
          <w:rStyle w:val="Emphasis"/>
          <w:rFonts w:asciiTheme="majorBidi" w:hAnsiTheme="majorBidi" w:cstheme="majorBidi"/>
          <w:sz w:val="24"/>
        </w:rPr>
        <w:t>Journal of Qur'anic Studies</w:t>
      </w:r>
      <w:r>
        <w:rPr>
          <w:rFonts w:asciiTheme="majorBidi" w:hAnsiTheme="majorBidi" w:cstheme="majorBidi"/>
          <w:sz w:val="24"/>
        </w:rPr>
        <w:t xml:space="preserve"> 5.2 (2003)</w:t>
      </w:r>
      <w:r w:rsidRPr="006D7A8C">
        <w:rPr>
          <w:rFonts w:asciiTheme="majorBidi" w:hAnsiTheme="majorBidi" w:cstheme="majorBidi"/>
          <w:sz w:val="24"/>
        </w:rPr>
        <w:t xml:space="preserve"> 48-71.</w:t>
      </w:r>
    </w:p>
    <w:p w14:paraId="452FCBBF" w14:textId="77777777" w:rsidR="000269DE" w:rsidRPr="00E00355" w:rsidRDefault="000269DE" w:rsidP="000269DE">
      <w:pPr>
        <w:spacing w:before="100" w:beforeAutospacing="1" w:after="100" w:afterAutospacing="1"/>
      </w:pPr>
      <w:proofErr w:type="spellStart"/>
      <w:r w:rsidRPr="00F524DB">
        <w:t>Afsar</w:t>
      </w:r>
      <w:proofErr w:type="spellEnd"/>
      <w:r w:rsidRPr="00F524DB">
        <w:t>, A. "A Comparative Study of the Art of Jonah/</w:t>
      </w:r>
      <w:proofErr w:type="spellStart"/>
      <w:r w:rsidRPr="00F524DB">
        <w:t>Yūnus</w:t>
      </w:r>
      <w:proofErr w:type="spellEnd"/>
      <w:r w:rsidRPr="00F524DB">
        <w:t xml:space="preserve"> Narrative in the Bible and the Qur'ān." </w:t>
      </w:r>
      <w:r w:rsidRPr="00F524DB">
        <w:rPr>
          <w:i/>
        </w:rPr>
        <w:t>Islamic Studies</w:t>
      </w:r>
      <w:r w:rsidRPr="00F524DB">
        <w:t xml:space="preserve"> 48/3 (2009) 319-339.</w:t>
      </w:r>
    </w:p>
    <w:p w14:paraId="0F18EAF1" w14:textId="2C19A07E" w:rsidR="00A3059B" w:rsidRDefault="00A3059B" w:rsidP="00A3059B">
      <w:pPr>
        <w:rPr>
          <w:b/>
          <w:sz w:val="28"/>
        </w:rPr>
      </w:pPr>
      <w:r>
        <w:rPr>
          <w:b/>
          <w:sz w:val="28"/>
        </w:rPr>
        <w:t>Class 5: April 28</w:t>
      </w:r>
    </w:p>
    <w:p w14:paraId="3D95CBD2" w14:textId="34909A22" w:rsidR="00A3059B" w:rsidRDefault="00A3059B" w:rsidP="00A3059B">
      <w:pPr>
        <w:rPr>
          <w:b/>
          <w:sz w:val="28"/>
        </w:rPr>
      </w:pPr>
    </w:p>
    <w:p w14:paraId="2B1BA7FB" w14:textId="7388C054" w:rsidR="008518D2" w:rsidRDefault="008518D2" w:rsidP="008518D2">
      <w:pPr>
        <w:rPr>
          <w:bCs/>
        </w:rPr>
      </w:pPr>
      <w:r w:rsidRPr="00A3059B">
        <w:rPr>
          <w:bCs/>
        </w:rPr>
        <w:t xml:space="preserve">Draft </w:t>
      </w:r>
      <w:r>
        <w:rPr>
          <w:bCs/>
        </w:rPr>
        <w:t xml:space="preserve">of </w:t>
      </w:r>
      <w:r w:rsidRPr="00A3059B">
        <w:rPr>
          <w:bCs/>
        </w:rPr>
        <w:t>Final Paper Due</w:t>
      </w:r>
    </w:p>
    <w:p w14:paraId="54F47587" w14:textId="77777777" w:rsidR="008518D2" w:rsidRDefault="008518D2" w:rsidP="008518D2">
      <w:pPr>
        <w:rPr>
          <w:bCs/>
        </w:rPr>
      </w:pPr>
    </w:p>
    <w:p w14:paraId="24DC99D5" w14:textId="14B6A8BC" w:rsidR="00A3059B" w:rsidRPr="00A3059B" w:rsidRDefault="008518D2" w:rsidP="00A3059B">
      <w:pPr>
        <w:rPr>
          <w:bCs/>
        </w:rPr>
      </w:pPr>
      <w:r>
        <w:rPr>
          <w:bCs/>
        </w:rPr>
        <w:lastRenderedPageBreak/>
        <w:t xml:space="preserve">No residential class (Gathering Days): </w:t>
      </w:r>
      <w:r w:rsidR="00A3059B" w:rsidRPr="00A3059B">
        <w:rPr>
          <w:bCs/>
        </w:rPr>
        <w:t xml:space="preserve">Canvas </w:t>
      </w:r>
      <w:r>
        <w:rPr>
          <w:bCs/>
        </w:rPr>
        <w:t>d</w:t>
      </w:r>
      <w:r w:rsidR="00A3059B" w:rsidRPr="00A3059B">
        <w:rPr>
          <w:bCs/>
        </w:rPr>
        <w:t xml:space="preserve">iscussion of </w:t>
      </w:r>
      <w:r>
        <w:rPr>
          <w:bCs/>
        </w:rPr>
        <w:t>r</w:t>
      </w:r>
      <w:r w:rsidR="00A3059B" w:rsidRPr="00A3059B">
        <w:rPr>
          <w:bCs/>
        </w:rPr>
        <w:t xml:space="preserve">ough </w:t>
      </w:r>
      <w:r>
        <w:rPr>
          <w:bCs/>
        </w:rPr>
        <w:t>d</w:t>
      </w:r>
      <w:r w:rsidR="00A3059B" w:rsidRPr="00A3059B">
        <w:rPr>
          <w:bCs/>
        </w:rPr>
        <w:t>rafts</w:t>
      </w:r>
    </w:p>
    <w:p w14:paraId="6F90504E" w14:textId="42225517" w:rsidR="007A385D" w:rsidRDefault="007A385D"/>
    <w:sectPr w:rsidR="007A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B44"/>
    <w:multiLevelType w:val="hybridMultilevel"/>
    <w:tmpl w:val="96224040"/>
    <w:lvl w:ilvl="0" w:tplc="305EFCA2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83020"/>
    <w:multiLevelType w:val="hybridMultilevel"/>
    <w:tmpl w:val="1C6244F6"/>
    <w:lvl w:ilvl="0" w:tplc="0ABE726C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0EBB"/>
    <w:multiLevelType w:val="hybridMultilevel"/>
    <w:tmpl w:val="F39A1946"/>
    <w:lvl w:ilvl="0" w:tplc="AC74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FC"/>
    <w:rsid w:val="000269DE"/>
    <w:rsid w:val="000C21E8"/>
    <w:rsid w:val="002459A8"/>
    <w:rsid w:val="00262B2F"/>
    <w:rsid w:val="00263211"/>
    <w:rsid w:val="002772D8"/>
    <w:rsid w:val="00281C83"/>
    <w:rsid w:val="003E3D82"/>
    <w:rsid w:val="003E51FA"/>
    <w:rsid w:val="004E616C"/>
    <w:rsid w:val="00526710"/>
    <w:rsid w:val="005B0DAD"/>
    <w:rsid w:val="0060098F"/>
    <w:rsid w:val="006B480B"/>
    <w:rsid w:val="00705B4B"/>
    <w:rsid w:val="007A385D"/>
    <w:rsid w:val="007E5596"/>
    <w:rsid w:val="007F05EC"/>
    <w:rsid w:val="008518D2"/>
    <w:rsid w:val="00A3059B"/>
    <w:rsid w:val="00A66FE5"/>
    <w:rsid w:val="00AF1DFC"/>
    <w:rsid w:val="00B759BA"/>
    <w:rsid w:val="00BD2AD4"/>
    <w:rsid w:val="00C64694"/>
    <w:rsid w:val="00D27DD1"/>
    <w:rsid w:val="00F00C25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B25EB"/>
  <w15:chartTrackingRefBased/>
  <w15:docId w15:val="{C8C63D51-3102-D54C-9F15-E61EA8B9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A66FE5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1DFC"/>
    <w:pPr>
      <w:ind w:left="720"/>
      <w:contextualSpacing/>
    </w:pPr>
  </w:style>
  <w:style w:type="paragraph" w:customStyle="1" w:styleId="Default">
    <w:name w:val="Default"/>
    <w:rsid w:val="00A66FE5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66FE5"/>
    <w:rPr>
      <w:rFonts w:ascii="Times" w:hAnsi="Times"/>
      <w:b/>
      <w:kern w:val="36"/>
      <w:sz w:val="48"/>
      <w:szCs w:val="20"/>
    </w:rPr>
  </w:style>
  <w:style w:type="character" w:customStyle="1" w:styleId="reference-text">
    <w:name w:val="reference-text"/>
    <w:basedOn w:val="DefaultParagraphFont"/>
    <w:rsid w:val="00A66FE5"/>
  </w:style>
  <w:style w:type="character" w:customStyle="1" w:styleId="apple-converted-space">
    <w:name w:val="apple-converted-space"/>
    <w:basedOn w:val="DefaultParagraphFont"/>
    <w:rsid w:val="00A66FE5"/>
  </w:style>
  <w:style w:type="paragraph" w:customStyle="1" w:styleId="p1">
    <w:name w:val="p1"/>
    <w:basedOn w:val="Normal"/>
    <w:rsid w:val="007A385D"/>
    <w:rPr>
      <w:rFonts w:ascii="Times" w:eastAsiaTheme="minorHAnsi" w:hAnsi="Times"/>
      <w:sz w:val="15"/>
      <w:szCs w:val="15"/>
      <w:lang w:bidi="he-IL"/>
    </w:rPr>
  </w:style>
  <w:style w:type="character" w:styleId="Emphasis">
    <w:name w:val="Emphasis"/>
    <w:basedOn w:val="DefaultParagraphFont"/>
    <w:uiPriority w:val="20"/>
    <w:qFormat/>
    <w:rsid w:val="007A385D"/>
    <w:rPr>
      <w:i/>
    </w:rPr>
  </w:style>
  <w:style w:type="character" w:customStyle="1" w:styleId="personname">
    <w:name w:val="person_name"/>
    <w:basedOn w:val="DefaultParagraphFont"/>
    <w:rsid w:val="007A385D"/>
  </w:style>
  <w:style w:type="paragraph" w:styleId="NormalWeb">
    <w:name w:val="Normal (Web)"/>
    <w:basedOn w:val="Normal"/>
    <w:uiPriority w:val="99"/>
    <w:rsid w:val="000269DE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instructurefileholder">
    <w:name w:val="instructure_file_holder"/>
    <w:basedOn w:val="DefaultParagraphFont"/>
    <w:rsid w:val="007F05EC"/>
  </w:style>
  <w:style w:type="character" w:styleId="Hyperlink">
    <w:name w:val="Hyperlink"/>
    <w:basedOn w:val="DefaultParagraphFont"/>
    <w:uiPriority w:val="99"/>
    <w:semiHidden/>
    <w:unhideWhenUsed/>
    <w:rsid w:val="007F05E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7F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dvent.org/fathers/0103320.htm" TargetMode="External"/><Relationship Id="rId13" Type="http://schemas.openxmlformats.org/officeDocument/2006/relationships/hyperlink" Target="https://iliff.instructure.com/courses/2271976/files/121552477/download?wra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advent.org/fathers/04167.htm" TargetMode="External"/><Relationship Id="rId12" Type="http://schemas.openxmlformats.org/officeDocument/2006/relationships/hyperlink" Target="http://www.johnsanidopoulos.com/2016/09/saint-jeromes-commentary-on-book-of_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advent.org/fathers/101612.htm" TargetMode="External"/><Relationship Id="rId11" Type="http://schemas.openxmlformats.org/officeDocument/2006/relationships/hyperlink" Target="http://www.newadvent.org/fathers/1102102.htm" TargetMode="Externa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hyperlink" Target="http://www.newadvent.org/fathers/010353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m.org/irenaeus-heresies5-1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Erickson</dc:creator>
  <cp:keywords/>
  <dc:description/>
  <cp:lastModifiedBy>Amy Erickson</cp:lastModifiedBy>
  <cp:revision>20</cp:revision>
  <dcterms:created xsi:type="dcterms:W3CDTF">2022-02-27T13:59:00Z</dcterms:created>
  <dcterms:modified xsi:type="dcterms:W3CDTF">2022-03-29T19:30:00Z</dcterms:modified>
</cp:coreProperties>
</file>